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A38203">
      <w:pPr>
        <w:jc w:val="center"/>
        <w:rPr>
          <w:rFonts w:hint="eastAsia" w:ascii="仿宋" w:hAnsi="仿宋" w:eastAsia="仿宋" w:cs="仿宋"/>
          <w:b/>
          <w:color w:val="auto"/>
          <w:sz w:val="32"/>
          <w:highlight w:val="none"/>
        </w:rPr>
      </w:pPr>
      <w:bookmarkStart w:id="0" w:name="_GoBack"/>
      <w:r>
        <w:rPr>
          <w:rFonts w:hint="eastAsia" w:ascii="仿宋" w:hAnsi="仿宋" w:eastAsia="仿宋" w:cs="仿宋"/>
          <w:b/>
          <w:color w:val="auto"/>
          <w:sz w:val="32"/>
          <w:highlight w:val="none"/>
        </w:rPr>
        <w:t>房屋租赁合同</w:t>
      </w:r>
    </w:p>
    <w:p w14:paraId="29DD9FF3">
      <w:pPr>
        <w:spacing w:line="240" w:lineRule="auto"/>
        <w:jc w:val="center"/>
        <w:rPr>
          <w:rFonts w:hint="eastAsia" w:ascii="仿宋" w:hAnsi="仿宋" w:eastAsia="仿宋" w:cs="仿宋"/>
          <w:color w:val="auto"/>
          <w:highlight w:val="none"/>
        </w:rPr>
      </w:pPr>
      <w:r>
        <w:rPr>
          <w:rFonts w:hint="eastAsia" w:ascii="仿宋" w:hAnsi="仿宋" w:eastAsia="仿宋" w:cs="仿宋"/>
          <w:color w:val="auto"/>
          <w:highlight w:val="none"/>
        </w:rPr>
        <w:t xml:space="preserve">                 </w:t>
      </w:r>
    </w:p>
    <w:p w14:paraId="331EA78D">
      <w:pPr>
        <w:spacing w:line="240" w:lineRule="auto"/>
        <w:jc w:val="center"/>
        <w:rPr>
          <w:rFonts w:hint="eastAsia" w:ascii="仿宋" w:hAnsi="仿宋" w:eastAsia="仿宋" w:cs="仿宋"/>
          <w:color w:val="auto"/>
          <w:highlight w:val="none"/>
          <w:u w:val="single"/>
        </w:rPr>
      </w:pPr>
      <w:r>
        <w:rPr>
          <w:rFonts w:hint="eastAsia" w:ascii="仿宋" w:hAnsi="仿宋" w:eastAsia="仿宋" w:cs="仿宋"/>
          <w:color w:val="auto"/>
          <w:highlight w:val="none"/>
        </w:rPr>
        <w:t xml:space="preserve">                 合同编号：</w:t>
      </w:r>
      <w:r>
        <w:rPr>
          <w:rFonts w:hint="eastAsia" w:ascii="仿宋" w:hAnsi="仿宋" w:eastAsia="仿宋" w:cs="仿宋"/>
          <w:color w:val="auto"/>
          <w:highlight w:val="none"/>
          <w:u w:val="single"/>
        </w:rPr>
        <w:t xml:space="preserve">                     </w:t>
      </w:r>
    </w:p>
    <w:p w14:paraId="7B07DBB2">
      <w:pPr>
        <w:spacing w:line="240" w:lineRule="auto"/>
        <w:jc w:val="center"/>
        <w:rPr>
          <w:rFonts w:hint="eastAsia" w:ascii="仿宋" w:hAnsi="仿宋" w:eastAsia="仿宋" w:cs="仿宋"/>
          <w:color w:val="auto"/>
          <w:highlight w:val="none"/>
        </w:rPr>
      </w:pPr>
    </w:p>
    <w:p w14:paraId="68073539">
      <w:pPr>
        <w:spacing w:after="0" w:line="276" w:lineRule="auto"/>
        <w:rPr>
          <w:rFonts w:hint="eastAsia" w:ascii="仿宋" w:hAnsi="仿宋" w:eastAsia="仿宋" w:cs="仿宋"/>
          <w:color w:val="auto"/>
          <w:highlight w:val="none"/>
          <w:u w:val="single"/>
        </w:rPr>
      </w:pPr>
      <w:r>
        <w:rPr>
          <w:rFonts w:hint="eastAsia" w:ascii="仿宋" w:hAnsi="仿宋" w:eastAsia="仿宋" w:cs="仿宋"/>
          <w:color w:val="auto"/>
          <w:highlight w:val="none"/>
        </w:rPr>
        <w:t>出租方（以下简称甲方）：</w:t>
      </w:r>
      <w:r>
        <w:rPr>
          <w:rFonts w:hint="eastAsia" w:ascii="仿宋" w:hAnsi="仿宋" w:eastAsia="仿宋" w:cs="仿宋"/>
          <w:color w:val="auto"/>
          <w:highlight w:val="none"/>
          <w:u w:val="single"/>
        </w:rPr>
        <w:t xml:space="preserve">                                              </w:t>
      </w:r>
    </w:p>
    <w:p w14:paraId="002C8C85">
      <w:pPr>
        <w:spacing w:after="0" w:line="276" w:lineRule="auto"/>
        <w:rPr>
          <w:rFonts w:hint="eastAsia" w:ascii="仿宋" w:hAnsi="仿宋" w:eastAsia="仿宋" w:cs="仿宋"/>
          <w:color w:val="auto"/>
          <w:highlight w:val="none"/>
          <w:u w:val="single"/>
        </w:rPr>
      </w:pPr>
      <w:r>
        <w:rPr>
          <w:rFonts w:hint="eastAsia" w:ascii="仿宋" w:hAnsi="仿宋" w:eastAsia="仿宋" w:cs="仿宋"/>
          <w:color w:val="auto"/>
          <w:highlight w:val="none"/>
        </w:rPr>
        <w:t>通讯地址：</w:t>
      </w:r>
      <w:r>
        <w:rPr>
          <w:rFonts w:hint="eastAsia" w:ascii="仿宋" w:hAnsi="仿宋" w:eastAsia="仿宋" w:cs="仿宋"/>
          <w:color w:val="auto"/>
          <w:highlight w:val="none"/>
          <w:u w:val="single"/>
        </w:rPr>
        <w:t xml:space="preserve">                                                            </w:t>
      </w:r>
    </w:p>
    <w:p w14:paraId="22DA0922">
      <w:pPr>
        <w:spacing w:after="0" w:line="276" w:lineRule="auto"/>
        <w:rPr>
          <w:rFonts w:hint="eastAsia" w:ascii="仿宋" w:hAnsi="仿宋" w:eastAsia="仿宋" w:cs="仿宋"/>
          <w:color w:val="auto"/>
          <w:highlight w:val="none"/>
          <w:u w:val="single"/>
        </w:rPr>
      </w:pPr>
      <w:r>
        <w:rPr>
          <w:rFonts w:hint="eastAsia" w:ascii="仿宋" w:hAnsi="仿宋" w:eastAsia="仿宋" w:cs="仿宋"/>
          <w:color w:val="auto"/>
          <w:highlight w:val="none"/>
        </w:rPr>
        <w:t>统一社会信用代码：</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法定代表人：</w:t>
      </w:r>
      <w:r>
        <w:rPr>
          <w:rFonts w:hint="eastAsia" w:ascii="仿宋" w:hAnsi="仿宋" w:eastAsia="仿宋" w:cs="仿宋"/>
          <w:color w:val="auto"/>
          <w:highlight w:val="none"/>
          <w:u w:val="single"/>
        </w:rPr>
        <w:t xml:space="preserve">                </w:t>
      </w:r>
    </w:p>
    <w:p w14:paraId="53F09CC4">
      <w:pPr>
        <w:spacing w:line="276" w:lineRule="auto"/>
        <w:rPr>
          <w:rFonts w:hint="eastAsia" w:ascii="仿宋" w:hAnsi="仿宋" w:eastAsia="仿宋" w:cs="仿宋"/>
          <w:color w:val="auto"/>
          <w:highlight w:val="none"/>
          <w:u w:val="single"/>
        </w:rPr>
      </w:pPr>
      <w:r>
        <w:rPr>
          <w:rFonts w:hint="eastAsia" w:ascii="仿宋" w:hAnsi="仿宋" w:eastAsia="仿宋" w:cs="仿宋"/>
          <w:color w:val="auto"/>
          <w:highlight w:val="none"/>
        </w:rPr>
        <w:t>联系人：</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  联系电话：</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  传真：</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 </w:t>
      </w:r>
    </w:p>
    <w:p w14:paraId="3DB730F6">
      <w:pPr>
        <w:spacing w:line="276" w:lineRule="auto"/>
        <w:rPr>
          <w:rFonts w:hint="eastAsia" w:ascii="仿宋" w:hAnsi="仿宋" w:eastAsia="仿宋" w:cs="仿宋"/>
          <w:color w:val="auto"/>
          <w:highlight w:val="none"/>
        </w:rPr>
      </w:pPr>
      <w:r>
        <w:rPr>
          <w:rFonts w:hint="eastAsia" w:ascii="仿宋" w:hAnsi="仿宋" w:eastAsia="仿宋" w:cs="仿宋"/>
          <w:color w:val="auto"/>
          <w:highlight w:val="none"/>
        </w:rPr>
        <w:t>电子邮箱：</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邮政编码：</w:t>
      </w:r>
      <w:r>
        <w:rPr>
          <w:rFonts w:hint="eastAsia" w:ascii="仿宋" w:hAnsi="仿宋" w:eastAsia="仿宋" w:cs="仿宋"/>
          <w:color w:val="auto"/>
          <w:highlight w:val="none"/>
          <w:u w:val="single"/>
        </w:rPr>
        <w:t xml:space="preserve">                        </w:t>
      </w:r>
    </w:p>
    <w:p w14:paraId="4CA6EFD0">
      <w:pPr>
        <w:spacing w:line="276" w:lineRule="auto"/>
        <w:rPr>
          <w:rFonts w:hint="eastAsia" w:ascii="仿宋" w:hAnsi="仿宋" w:eastAsia="仿宋" w:cs="仿宋"/>
          <w:color w:val="auto"/>
          <w:highlight w:val="none"/>
        </w:rPr>
      </w:pPr>
    </w:p>
    <w:p w14:paraId="26E26F94">
      <w:pPr>
        <w:spacing w:line="276" w:lineRule="auto"/>
        <w:rPr>
          <w:rFonts w:hint="eastAsia" w:ascii="仿宋" w:hAnsi="仿宋" w:eastAsia="仿宋" w:cs="仿宋"/>
          <w:color w:val="auto"/>
          <w:highlight w:val="none"/>
          <w:u w:val="single"/>
        </w:rPr>
      </w:pPr>
      <w:r>
        <w:rPr>
          <w:rFonts w:hint="eastAsia" w:ascii="仿宋" w:hAnsi="仿宋" w:eastAsia="仿宋" w:cs="仿宋"/>
          <w:color w:val="auto"/>
          <w:highlight w:val="none"/>
        </w:rPr>
        <w:t>承租方（以下简称乙方）：</w:t>
      </w:r>
      <w:r>
        <w:rPr>
          <w:rFonts w:hint="eastAsia" w:ascii="仿宋" w:hAnsi="仿宋" w:eastAsia="仿宋" w:cs="仿宋"/>
          <w:color w:val="auto"/>
          <w:highlight w:val="none"/>
          <w:u w:val="single"/>
        </w:rPr>
        <w:t xml:space="preserve">                                               </w:t>
      </w:r>
    </w:p>
    <w:p w14:paraId="1F09CC01">
      <w:pPr>
        <w:spacing w:line="276" w:lineRule="auto"/>
        <w:jc w:val="left"/>
        <w:rPr>
          <w:rFonts w:hint="eastAsia" w:ascii="仿宋" w:hAnsi="仿宋" w:eastAsia="仿宋" w:cs="仿宋"/>
          <w:color w:val="auto"/>
          <w:highlight w:val="none"/>
          <w:u w:val="single"/>
        </w:rPr>
      </w:pPr>
      <w:r>
        <w:rPr>
          <w:rFonts w:hint="eastAsia" w:ascii="仿宋" w:hAnsi="仿宋" w:eastAsia="仿宋" w:cs="仿宋"/>
          <w:color w:val="auto"/>
          <w:highlight w:val="none"/>
        </w:rPr>
        <w:t>通讯地址：</w:t>
      </w:r>
      <w:r>
        <w:rPr>
          <w:rFonts w:hint="eastAsia" w:ascii="仿宋" w:hAnsi="仿宋" w:eastAsia="仿宋" w:cs="仿宋"/>
          <w:color w:val="auto"/>
          <w:highlight w:val="none"/>
          <w:u w:val="single"/>
        </w:rPr>
        <w:t xml:space="preserve">                                                            </w:t>
      </w:r>
    </w:p>
    <w:p w14:paraId="26FEE443">
      <w:pPr>
        <w:spacing w:line="276" w:lineRule="auto"/>
        <w:jc w:val="left"/>
        <w:rPr>
          <w:rFonts w:hint="eastAsia" w:ascii="仿宋" w:hAnsi="仿宋" w:eastAsia="仿宋" w:cs="仿宋"/>
          <w:color w:val="auto"/>
          <w:highlight w:val="none"/>
        </w:rPr>
      </w:pPr>
      <w:r>
        <w:rPr>
          <w:rFonts w:hint="eastAsia" w:ascii="仿宋" w:hAnsi="仿宋" w:eastAsia="仿宋" w:cs="仿宋"/>
          <w:color w:val="auto"/>
          <w:highlight w:val="none"/>
        </w:rPr>
        <w:t>统一社会信用代码/注册号/身份证号码：</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法定代表人：</w:t>
      </w:r>
      <w:r>
        <w:rPr>
          <w:rFonts w:hint="eastAsia" w:ascii="仿宋" w:hAnsi="仿宋" w:eastAsia="仿宋" w:cs="仿宋"/>
          <w:color w:val="auto"/>
          <w:highlight w:val="none"/>
          <w:u w:val="single"/>
        </w:rPr>
        <w:t xml:space="preserve">       </w:t>
      </w:r>
    </w:p>
    <w:p w14:paraId="29C3CA48">
      <w:pPr>
        <w:spacing w:line="276" w:lineRule="auto"/>
        <w:rPr>
          <w:rFonts w:hint="eastAsia" w:ascii="仿宋" w:hAnsi="仿宋" w:eastAsia="仿宋" w:cs="仿宋"/>
          <w:color w:val="auto"/>
          <w:highlight w:val="none"/>
          <w:u w:val="single"/>
        </w:rPr>
      </w:pPr>
      <w:r>
        <w:rPr>
          <w:rFonts w:hint="eastAsia" w:ascii="仿宋" w:hAnsi="仿宋" w:eastAsia="仿宋" w:cs="仿宋"/>
          <w:color w:val="auto"/>
          <w:highlight w:val="none"/>
        </w:rPr>
        <w:t>联系人：</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  联系电话：</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  传真：</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 </w:t>
      </w:r>
    </w:p>
    <w:p w14:paraId="1AE14E41">
      <w:pPr>
        <w:spacing w:line="276" w:lineRule="auto"/>
        <w:rPr>
          <w:rFonts w:hint="eastAsia" w:ascii="仿宋" w:hAnsi="仿宋" w:eastAsia="仿宋" w:cs="仿宋"/>
          <w:color w:val="auto"/>
          <w:highlight w:val="none"/>
        </w:rPr>
      </w:pPr>
      <w:r>
        <w:rPr>
          <w:rFonts w:hint="eastAsia" w:ascii="仿宋" w:hAnsi="仿宋" w:eastAsia="仿宋" w:cs="仿宋"/>
          <w:color w:val="auto"/>
          <w:highlight w:val="none"/>
        </w:rPr>
        <w:t>电子邮箱：</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邮政编码：</w:t>
      </w:r>
      <w:r>
        <w:rPr>
          <w:rFonts w:hint="eastAsia" w:ascii="仿宋" w:hAnsi="仿宋" w:eastAsia="仿宋" w:cs="仿宋"/>
          <w:color w:val="auto"/>
          <w:highlight w:val="none"/>
          <w:u w:val="single"/>
        </w:rPr>
        <w:t xml:space="preserve">                        </w:t>
      </w:r>
    </w:p>
    <w:p w14:paraId="3BFFF6E4">
      <w:pPr>
        <w:spacing w:line="240" w:lineRule="auto"/>
        <w:rPr>
          <w:rFonts w:hint="eastAsia" w:ascii="仿宋" w:hAnsi="仿宋" w:eastAsia="仿宋" w:cs="仿宋"/>
          <w:color w:val="auto"/>
          <w:highlight w:val="none"/>
        </w:rPr>
      </w:pPr>
    </w:p>
    <w:p w14:paraId="55AF01A0">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根据《中华人民共和国民法典》及有关法律法规之规定，甲、乙双方经友好协商一致，就甲方有权出租的房屋租赁事宜达成如下协议：</w:t>
      </w:r>
    </w:p>
    <w:p w14:paraId="2F93B8EC">
      <w:pPr>
        <w:spacing w:line="240" w:lineRule="auto"/>
        <w:ind w:firstLine="477" w:firstLineChars="198"/>
        <w:rPr>
          <w:rFonts w:hint="eastAsia" w:ascii="仿宋" w:hAnsi="仿宋" w:eastAsia="仿宋" w:cs="仿宋"/>
          <w:b/>
          <w:bCs/>
          <w:color w:val="auto"/>
          <w:highlight w:val="none"/>
        </w:rPr>
      </w:pPr>
      <w:r>
        <w:rPr>
          <w:rFonts w:hint="eastAsia" w:ascii="仿宋" w:hAnsi="仿宋" w:eastAsia="仿宋" w:cs="仿宋"/>
          <w:b/>
          <w:bCs/>
          <w:color w:val="auto"/>
          <w:highlight w:val="none"/>
        </w:rPr>
        <w:t>第一条 租赁房屋基本情况</w:t>
      </w:r>
    </w:p>
    <w:p w14:paraId="1A0E5708">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1、甲方将坐落于</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的房屋（以下简称“租赁房屋”）按现状出租给乙方，乙方经实地考察自愿承租，租赁房屋建筑面积</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w:t>
      </w:r>
    </w:p>
    <w:p w14:paraId="497A9BB4">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2、租赁房屋用途为</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；乙方应按照有关法律法规、规章政策的规定自行办理经营活动所必须的审批手续，在完成相关审批后</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日内，将所有批准文件复印一份并加盖公章交予甲方备案；若乙方办理相关审批需要甲方协助的，甲方可在合理范围内予以配合，所发生的费用由乙方承担。未经甲方书面同意及相关法定程序批准，乙方不得随意变更房屋用途，否则甲方有权依本合同第十条的相关约定处理，且由乙方承担一切责任，若因此给甲方造成损失的，乙方应予以赔偿。乙方不得以无法办理营业资质为由要求解除合同及要求甲方赔偿。</w:t>
      </w:r>
    </w:p>
    <w:p w14:paraId="2055B0F6">
      <w:pPr>
        <w:adjustRightInd w:val="0"/>
        <w:snapToGrid w:val="0"/>
        <w:spacing w:line="276" w:lineRule="auto"/>
        <w:ind w:firstLine="482" w:firstLineChars="200"/>
        <w:rPr>
          <w:rFonts w:hint="eastAsia" w:ascii="仿宋" w:hAnsi="仿宋" w:eastAsia="仿宋" w:cs="仿宋"/>
          <w:color w:val="auto"/>
          <w:highlight w:val="none"/>
        </w:rPr>
      </w:pPr>
      <w:r>
        <w:rPr>
          <w:rFonts w:hint="eastAsia" w:ascii="仿宋" w:hAnsi="仿宋" w:eastAsia="仿宋" w:cs="仿宋"/>
          <w:b/>
          <w:bCs/>
          <w:color w:val="auto"/>
          <w:kern w:val="0"/>
          <w:highlight w:val="none"/>
        </w:rPr>
        <w:t>乙方确认对租赁房屋及其附属设备设施（包括但不限于供水、供电、消防、空调设备设施等，下同）等租赁物的现状、权属状况等已有充分了解，且无任何异议，同意按租赁房屋及其附属设备设施等租赁物交付时的现状承租。</w:t>
      </w:r>
    </w:p>
    <w:p w14:paraId="707CD923">
      <w:pPr>
        <w:spacing w:line="240" w:lineRule="auto"/>
        <w:ind w:firstLine="477" w:firstLineChars="198"/>
        <w:rPr>
          <w:rFonts w:hint="eastAsia" w:ascii="仿宋" w:hAnsi="仿宋" w:eastAsia="仿宋" w:cs="仿宋"/>
          <w:b/>
          <w:bCs/>
          <w:color w:val="auto"/>
          <w:highlight w:val="none"/>
        </w:rPr>
      </w:pPr>
      <w:r>
        <w:rPr>
          <w:rFonts w:hint="eastAsia" w:ascii="仿宋" w:hAnsi="仿宋" w:eastAsia="仿宋" w:cs="仿宋"/>
          <w:b/>
          <w:bCs/>
          <w:color w:val="auto"/>
          <w:highlight w:val="none"/>
        </w:rPr>
        <w:t>第二条 租赁期限</w:t>
      </w:r>
    </w:p>
    <w:p w14:paraId="7E6474A0">
      <w:pPr>
        <w:adjustRightInd w:val="0"/>
        <w:snapToGrid w:val="0"/>
        <w:spacing w:line="240" w:lineRule="auto"/>
        <w:ind w:firstLine="564" w:firstLineChars="235"/>
        <w:rPr>
          <w:rFonts w:hint="eastAsia" w:ascii="仿宋" w:hAnsi="仿宋" w:eastAsia="仿宋" w:cs="仿宋"/>
          <w:color w:val="auto"/>
          <w:highlight w:val="none"/>
        </w:rPr>
      </w:pPr>
      <w:r>
        <w:rPr>
          <w:rFonts w:hint="eastAsia" w:ascii="仿宋" w:hAnsi="仿宋" w:eastAsia="仿宋" w:cs="仿宋"/>
          <w:color w:val="auto"/>
          <w:highlight w:val="none"/>
        </w:rPr>
        <w:t>1、本合同项下房屋租赁期</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年。自</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年</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月</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日起至</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年</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月</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日止（房屋交付日期暂定为</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年</w:t>
      </w:r>
      <w:r>
        <w:rPr>
          <w:rFonts w:hint="eastAsia" w:ascii="仿宋" w:hAnsi="仿宋" w:eastAsia="仿宋" w:cs="仿宋"/>
          <w:b/>
          <w:bCs/>
          <w:color w:val="auto"/>
          <w:highlight w:val="none"/>
          <w:u w:val="single"/>
        </w:rPr>
        <w:t xml:space="preserve">  </w:t>
      </w:r>
      <w:r>
        <w:rPr>
          <w:rFonts w:hint="eastAsia" w:ascii="仿宋" w:hAnsi="仿宋" w:eastAsia="仿宋" w:cs="仿宋"/>
          <w:color w:val="auto"/>
          <w:highlight w:val="none"/>
        </w:rPr>
        <w:t>月</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日，房屋实际交付日期以甲方发出的《交房通知书》载明日期为准），合同期满即行终止。</w:t>
      </w:r>
    </w:p>
    <w:p w14:paraId="0F96A078">
      <w:pPr>
        <w:adjustRightInd w:val="0"/>
        <w:snapToGrid w:val="0"/>
        <w:spacing w:line="240" w:lineRule="auto"/>
        <w:ind w:firstLine="564" w:firstLineChars="235"/>
        <w:rPr>
          <w:rFonts w:hint="eastAsia" w:ascii="仿宋" w:hAnsi="仿宋" w:eastAsia="仿宋" w:cs="仿宋"/>
          <w:color w:val="auto"/>
          <w:highlight w:val="none"/>
        </w:rPr>
      </w:pPr>
      <w:r>
        <w:rPr>
          <w:rFonts w:hint="eastAsia" w:ascii="仿宋" w:hAnsi="仿宋" w:eastAsia="仿宋" w:cs="仿宋"/>
          <w:color w:val="auto"/>
          <w:highlight w:val="none"/>
        </w:rPr>
        <w:t>如果在本合同暂定的房屋交付日起90日内，甲方未能交付该房屋，则甲方对此不承担任何违约责任。但如果甲方交付房屋超过90日，则乙方有权终止本合同，甲方除全额退还乙方履约保证金（不计利息）以及预付租金（不计利息）外，不承担任何责任。</w:t>
      </w:r>
      <w:r>
        <w:rPr>
          <w:rFonts w:hint="eastAsia" w:ascii="仿宋" w:hAnsi="仿宋" w:eastAsia="仿宋" w:cs="仿宋"/>
          <w:color w:val="auto"/>
          <w:highlight w:val="none"/>
        </w:rPr>
        <w:t>（选择性条款，适用于：非空置房、非原租户续租合同）</w:t>
      </w:r>
    </w:p>
    <w:p w14:paraId="61EA6033">
      <w:pPr>
        <w:adjustRightInd w:val="0"/>
        <w:snapToGrid w:val="0"/>
        <w:spacing w:line="24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2、若房屋实际交付日期与本合同暂定的交付日期不一致，甲乙双方应另行签订补充协议，确定房屋租赁期间及租金计收表。</w:t>
      </w:r>
    </w:p>
    <w:p w14:paraId="6A491FBB">
      <w:pPr>
        <w:spacing w:line="240" w:lineRule="auto"/>
        <w:ind w:firstLine="477" w:firstLineChars="198"/>
        <w:rPr>
          <w:rFonts w:hint="eastAsia" w:ascii="仿宋" w:hAnsi="仿宋" w:eastAsia="仿宋" w:cs="仿宋"/>
          <w:b/>
          <w:bCs/>
          <w:color w:val="auto"/>
          <w:highlight w:val="none"/>
        </w:rPr>
      </w:pPr>
      <w:r>
        <w:rPr>
          <w:rFonts w:hint="eastAsia" w:ascii="仿宋" w:hAnsi="仿宋" w:eastAsia="仿宋" w:cs="仿宋"/>
          <w:b/>
          <w:bCs/>
          <w:color w:val="auto"/>
          <w:highlight w:val="none"/>
        </w:rPr>
        <w:t>第三条 租金</w:t>
      </w:r>
    </w:p>
    <w:p w14:paraId="2D85FABF">
      <w:pPr>
        <w:spacing w:line="24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1、乙方承租期间，前</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年租金标准为</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元/月（人民币，下同）。第</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年起每年租金递增</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w:t>
      </w:r>
      <w:r>
        <w:rPr>
          <w:rFonts w:hint="eastAsia" w:ascii="仿宋" w:hAnsi="仿宋" w:eastAsia="仿宋" w:cs="仿宋"/>
          <w:color w:val="auto"/>
          <w:highlight w:val="none"/>
        </w:rPr>
        <w:t>（选择性条款）</w:t>
      </w:r>
    </w:p>
    <w:tbl>
      <w:tblPr>
        <w:tblStyle w:val="8"/>
        <w:tblW w:w="8385" w:type="dxa"/>
        <w:tblInd w:w="114" w:type="dxa"/>
        <w:tblLayout w:type="fixed"/>
        <w:tblCellMar>
          <w:top w:w="0" w:type="dxa"/>
          <w:left w:w="108" w:type="dxa"/>
          <w:bottom w:w="0" w:type="dxa"/>
          <w:right w:w="108" w:type="dxa"/>
        </w:tblCellMar>
      </w:tblPr>
      <w:tblGrid>
        <w:gridCol w:w="1454"/>
        <w:gridCol w:w="4150"/>
        <w:gridCol w:w="1433"/>
        <w:gridCol w:w="1348"/>
      </w:tblGrid>
      <w:tr w14:paraId="3FE74107">
        <w:tblPrEx>
          <w:tblCellMar>
            <w:top w:w="0" w:type="dxa"/>
            <w:left w:w="108" w:type="dxa"/>
            <w:bottom w:w="0" w:type="dxa"/>
            <w:right w:w="108" w:type="dxa"/>
          </w:tblCellMar>
        </w:tblPrEx>
        <w:trPr>
          <w:trHeight w:val="525" w:hRule="atLeast"/>
        </w:trPr>
        <w:tc>
          <w:tcPr>
            <w:tcW w:w="8385" w:type="dxa"/>
            <w:gridSpan w:val="4"/>
            <w:tcBorders>
              <w:top w:val="nil"/>
              <w:left w:val="single" w:color="auto" w:sz="8" w:space="0"/>
              <w:bottom w:val="single" w:color="000000" w:sz="8" w:space="0"/>
              <w:right w:val="single" w:color="000000" w:sz="8" w:space="0"/>
            </w:tcBorders>
            <w:vAlign w:val="center"/>
          </w:tcPr>
          <w:p w14:paraId="1EAF29FF">
            <w:pPr>
              <w:widowControl/>
              <w:jc w:val="center"/>
              <w:rPr>
                <w:rFonts w:hint="eastAsia" w:ascii="仿宋" w:hAnsi="仿宋" w:eastAsia="仿宋" w:cs="仿宋"/>
                <w:color w:val="auto"/>
                <w:kern w:val="0"/>
                <w:sz w:val="21"/>
                <w:szCs w:val="21"/>
                <w:highlight w:val="none"/>
              </w:rPr>
            </w:pPr>
            <w:r>
              <w:rPr>
                <w:rFonts w:hint="eastAsia" w:ascii="仿宋" w:hAnsi="仿宋" w:eastAsia="仿宋" w:cs="仿宋"/>
                <w:b/>
                <w:bCs/>
                <w:color w:val="auto"/>
                <w:kern w:val="0"/>
                <w:highlight w:val="none"/>
              </w:rPr>
              <w:t>租金计收表</w:t>
            </w:r>
          </w:p>
        </w:tc>
      </w:tr>
      <w:tr w14:paraId="31D0803F">
        <w:tblPrEx>
          <w:tblCellMar>
            <w:top w:w="0" w:type="dxa"/>
            <w:left w:w="108" w:type="dxa"/>
            <w:bottom w:w="0" w:type="dxa"/>
            <w:right w:w="108" w:type="dxa"/>
          </w:tblCellMar>
        </w:tblPrEx>
        <w:trPr>
          <w:trHeight w:val="525" w:hRule="atLeast"/>
        </w:trPr>
        <w:tc>
          <w:tcPr>
            <w:tcW w:w="1454" w:type="dxa"/>
            <w:vMerge w:val="restart"/>
            <w:tcBorders>
              <w:top w:val="nil"/>
              <w:left w:val="single" w:color="auto" w:sz="8" w:space="0"/>
              <w:bottom w:val="single" w:color="000000" w:sz="8" w:space="0"/>
              <w:right w:val="single" w:color="auto" w:sz="8" w:space="0"/>
            </w:tcBorders>
            <w:vAlign w:val="center"/>
          </w:tcPr>
          <w:p w14:paraId="73624A3D">
            <w:pPr>
              <w:widowControl/>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序号</w:t>
            </w:r>
          </w:p>
        </w:tc>
        <w:tc>
          <w:tcPr>
            <w:tcW w:w="4150" w:type="dxa"/>
            <w:tcBorders>
              <w:top w:val="nil"/>
              <w:left w:val="nil"/>
              <w:bottom w:val="nil"/>
              <w:right w:val="single" w:color="auto" w:sz="8" w:space="0"/>
            </w:tcBorders>
            <w:vAlign w:val="center"/>
          </w:tcPr>
          <w:p w14:paraId="71B39367">
            <w:pPr>
              <w:widowControl/>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计算租金期限</w:t>
            </w:r>
          </w:p>
        </w:tc>
        <w:tc>
          <w:tcPr>
            <w:tcW w:w="2781" w:type="dxa"/>
            <w:gridSpan w:val="2"/>
            <w:vMerge w:val="restart"/>
            <w:tcBorders>
              <w:top w:val="single" w:color="auto" w:sz="8" w:space="0"/>
              <w:left w:val="single" w:color="auto" w:sz="8" w:space="0"/>
              <w:right w:val="single" w:color="000000" w:sz="8" w:space="0"/>
            </w:tcBorders>
            <w:vAlign w:val="center"/>
          </w:tcPr>
          <w:p w14:paraId="6FA8CF14">
            <w:pPr>
              <w:widowControl/>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租金（元）</w:t>
            </w:r>
          </w:p>
        </w:tc>
      </w:tr>
      <w:tr w14:paraId="69B03EBF">
        <w:tblPrEx>
          <w:tblCellMar>
            <w:top w:w="0" w:type="dxa"/>
            <w:left w:w="108" w:type="dxa"/>
            <w:bottom w:w="0" w:type="dxa"/>
            <w:right w:w="108" w:type="dxa"/>
          </w:tblCellMar>
        </w:tblPrEx>
        <w:trPr>
          <w:trHeight w:val="490" w:hRule="atLeast"/>
        </w:trPr>
        <w:tc>
          <w:tcPr>
            <w:tcW w:w="1454" w:type="dxa"/>
            <w:vMerge w:val="continue"/>
            <w:tcBorders>
              <w:top w:val="nil"/>
              <w:left w:val="single" w:color="auto" w:sz="8" w:space="0"/>
              <w:bottom w:val="single" w:color="000000" w:sz="8" w:space="0"/>
              <w:right w:val="single" w:color="auto" w:sz="8" w:space="0"/>
            </w:tcBorders>
            <w:vAlign w:val="center"/>
          </w:tcPr>
          <w:p w14:paraId="031D0C7B">
            <w:pPr>
              <w:widowControl/>
              <w:jc w:val="center"/>
              <w:rPr>
                <w:rFonts w:hint="eastAsia" w:ascii="仿宋" w:hAnsi="仿宋" w:eastAsia="仿宋" w:cs="仿宋"/>
                <w:color w:val="auto"/>
                <w:kern w:val="0"/>
                <w:sz w:val="21"/>
                <w:szCs w:val="21"/>
                <w:highlight w:val="none"/>
              </w:rPr>
            </w:pPr>
          </w:p>
        </w:tc>
        <w:tc>
          <w:tcPr>
            <w:tcW w:w="4150" w:type="dxa"/>
            <w:tcBorders>
              <w:top w:val="nil"/>
              <w:left w:val="nil"/>
              <w:bottom w:val="single" w:color="auto" w:sz="8" w:space="0"/>
              <w:right w:val="single" w:color="auto" w:sz="8" w:space="0"/>
            </w:tcBorders>
            <w:vAlign w:val="center"/>
          </w:tcPr>
          <w:p w14:paraId="39CDDFD4">
            <w:pPr>
              <w:widowControl/>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（以 年 月 日交房计算）</w:t>
            </w:r>
          </w:p>
        </w:tc>
        <w:tc>
          <w:tcPr>
            <w:tcW w:w="2781" w:type="dxa"/>
            <w:gridSpan w:val="2"/>
            <w:vMerge w:val="continue"/>
            <w:tcBorders>
              <w:left w:val="single" w:color="auto" w:sz="8" w:space="0"/>
              <w:bottom w:val="single" w:color="auto" w:sz="8" w:space="0"/>
              <w:right w:val="single" w:color="000000" w:sz="8" w:space="0"/>
            </w:tcBorders>
            <w:vAlign w:val="center"/>
          </w:tcPr>
          <w:p w14:paraId="6154124C">
            <w:pPr>
              <w:widowControl/>
              <w:jc w:val="center"/>
              <w:rPr>
                <w:rFonts w:hint="eastAsia" w:ascii="仿宋" w:hAnsi="仿宋" w:eastAsia="仿宋" w:cs="仿宋"/>
                <w:color w:val="auto"/>
                <w:kern w:val="0"/>
                <w:sz w:val="21"/>
                <w:szCs w:val="21"/>
                <w:highlight w:val="none"/>
              </w:rPr>
            </w:pPr>
          </w:p>
        </w:tc>
      </w:tr>
      <w:tr w14:paraId="6CB29348">
        <w:tblPrEx>
          <w:tblCellMar>
            <w:top w:w="0" w:type="dxa"/>
            <w:left w:w="108" w:type="dxa"/>
            <w:bottom w:w="0" w:type="dxa"/>
            <w:right w:w="108" w:type="dxa"/>
          </w:tblCellMar>
        </w:tblPrEx>
        <w:trPr>
          <w:trHeight w:val="302" w:hRule="atLeast"/>
        </w:trPr>
        <w:tc>
          <w:tcPr>
            <w:tcW w:w="1454" w:type="dxa"/>
            <w:tcBorders>
              <w:top w:val="nil"/>
              <w:left w:val="single" w:color="auto" w:sz="8" w:space="0"/>
              <w:bottom w:val="single" w:color="auto" w:sz="8" w:space="0"/>
              <w:right w:val="single" w:color="auto" w:sz="8" w:space="0"/>
            </w:tcBorders>
            <w:vAlign w:val="center"/>
          </w:tcPr>
          <w:p w14:paraId="0E03638D">
            <w:pPr>
              <w:widowControl/>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首期（含租金优惠期）</w:t>
            </w:r>
            <w:r>
              <w:rPr>
                <w:rFonts w:hint="eastAsia" w:ascii="仿宋" w:hAnsi="仿宋" w:eastAsia="仿宋" w:cs="仿宋"/>
                <w:color w:val="auto"/>
                <w:highlight w:val="none"/>
              </w:rPr>
              <w:t>（选择性条款）</w:t>
            </w:r>
            <w:r>
              <w:rPr>
                <w:rFonts w:hint="eastAsia" w:ascii="仿宋" w:hAnsi="仿宋" w:eastAsia="仿宋" w:cs="仿宋"/>
                <w:color w:val="auto"/>
                <w:kern w:val="0"/>
                <w:sz w:val="21"/>
                <w:szCs w:val="21"/>
                <w:highlight w:val="none"/>
              </w:rPr>
              <w:t>租金</w:t>
            </w:r>
          </w:p>
        </w:tc>
        <w:tc>
          <w:tcPr>
            <w:tcW w:w="4150" w:type="dxa"/>
            <w:tcBorders>
              <w:top w:val="nil"/>
              <w:left w:val="nil"/>
              <w:bottom w:val="single" w:color="auto" w:sz="8" w:space="0"/>
              <w:right w:val="single" w:color="auto" w:sz="8" w:space="0"/>
            </w:tcBorders>
            <w:vAlign w:val="center"/>
          </w:tcPr>
          <w:p w14:paraId="219FDCF6">
            <w:pPr>
              <w:widowControl/>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年</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月</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日至</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年</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月</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日</w:t>
            </w:r>
          </w:p>
        </w:tc>
        <w:tc>
          <w:tcPr>
            <w:tcW w:w="2781" w:type="dxa"/>
            <w:gridSpan w:val="2"/>
            <w:tcBorders>
              <w:top w:val="single" w:color="auto" w:sz="8" w:space="0"/>
              <w:left w:val="nil"/>
              <w:bottom w:val="single" w:color="auto" w:sz="8" w:space="0"/>
              <w:right w:val="single" w:color="000000" w:sz="8" w:space="0"/>
            </w:tcBorders>
            <w:vAlign w:val="center"/>
          </w:tcPr>
          <w:p w14:paraId="0861C2EC">
            <w:pPr>
              <w:widowControl/>
              <w:jc w:val="center"/>
              <w:rPr>
                <w:rFonts w:hint="eastAsia" w:ascii="仿宋" w:hAnsi="仿宋" w:eastAsia="仿宋" w:cs="仿宋"/>
                <w:color w:val="auto"/>
                <w:kern w:val="0"/>
                <w:sz w:val="21"/>
                <w:szCs w:val="21"/>
                <w:highlight w:val="none"/>
              </w:rPr>
            </w:pPr>
          </w:p>
        </w:tc>
      </w:tr>
      <w:tr w14:paraId="7300F190">
        <w:tblPrEx>
          <w:tblCellMar>
            <w:top w:w="0" w:type="dxa"/>
            <w:left w:w="108" w:type="dxa"/>
            <w:bottom w:w="0" w:type="dxa"/>
            <w:right w:w="108" w:type="dxa"/>
          </w:tblCellMar>
        </w:tblPrEx>
        <w:trPr>
          <w:trHeight w:val="1050" w:hRule="atLeast"/>
        </w:trPr>
        <w:tc>
          <w:tcPr>
            <w:tcW w:w="1454" w:type="dxa"/>
            <w:tcBorders>
              <w:top w:val="single" w:color="auto" w:sz="8" w:space="0"/>
              <w:left w:val="single" w:color="auto" w:sz="8" w:space="0"/>
              <w:bottom w:val="single" w:color="auto" w:sz="8" w:space="0"/>
              <w:right w:val="single" w:color="auto" w:sz="8" w:space="0"/>
            </w:tcBorders>
            <w:vAlign w:val="center"/>
          </w:tcPr>
          <w:p w14:paraId="3CBAF1B7">
            <w:pPr>
              <w:widowControl/>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序号</w:t>
            </w:r>
          </w:p>
        </w:tc>
        <w:tc>
          <w:tcPr>
            <w:tcW w:w="4150" w:type="dxa"/>
            <w:tcBorders>
              <w:top w:val="single" w:color="auto" w:sz="8" w:space="0"/>
              <w:left w:val="single" w:color="auto" w:sz="8" w:space="0"/>
              <w:bottom w:val="single" w:color="auto" w:sz="8" w:space="0"/>
              <w:right w:val="single" w:color="auto" w:sz="8" w:space="0"/>
            </w:tcBorders>
            <w:vAlign w:val="center"/>
          </w:tcPr>
          <w:p w14:paraId="66A2961F">
            <w:pPr>
              <w:widowControl/>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计算租金期限</w:t>
            </w:r>
          </w:p>
          <w:p w14:paraId="18E0D9BD">
            <w:pPr>
              <w:widowControl/>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（以 年 月 日交房计算）</w:t>
            </w:r>
          </w:p>
        </w:tc>
        <w:tc>
          <w:tcPr>
            <w:tcW w:w="1433" w:type="dxa"/>
            <w:tcBorders>
              <w:top w:val="single" w:color="auto" w:sz="8" w:space="0"/>
              <w:left w:val="single" w:color="auto" w:sz="8" w:space="0"/>
              <w:bottom w:val="single" w:color="auto" w:sz="8" w:space="0"/>
              <w:right w:val="single" w:color="auto" w:sz="8" w:space="0"/>
            </w:tcBorders>
            <w:vAlign w:val="center"/>
          </w:tcPr>
          <w:p w14:paraId="6E2ECD7A">
            <w:pPr>
              <w:widowControl/>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折合单价（元/平方米/月）</w:t>
            </w:r>
          </w:p>
        </w:tc>
        <w:tc>
          <w:tcPr>
            <w:tcW w:w="1348" w:type="dxa"/>
            <w:tcBorders>
              <w:top w:val="single" w:color="auto" w:sz="8" w:space="0"/>
              <w:left w:val="single" w:color="auto" w:sz="8" w:space="0"/>
              <w:bottom w:val="single" w:color="auto" w:sz="8" w:space="0"/>
              <w:right w:val="single" w:color="auto" w:sz="8" w:space="0"/>
            </w:tcBorders>
            <w:vAlign w:val="center"/>
          </w:tcPr>
          <w:p w14:paraId="41661CBB">
            <w:pPr>
              <w:widowControl/>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月租金（元）</w:t>
            </w:r>
          </w:p>
        </w:tc>
      </w:tr>
      <w:tr w14:paraId="79B310E9">
        <w:tblPrEx>
          <w:tblCellMar>
            <w:top w:w="0" w:type="dxa"/>
            <w:left w:w="108" w:type="dxa"/>
            <w:bottom w:w="0" w:type="dxa"/>
            <w:right w:w="108" w:type="dxa"/>
          </w:tblCellMar>
        </w:tblPrEx>
        <w:trPr>
          <w:trHeight w:val="302" w:hRule="atLeast"/>
        </w:trPr>
        <w:tc>
          <w:tcPr>
            <w:tcW w:w="1454" w:type="dxa"/>
            <w:tcBorders>
              <w:top w:val="single" w:color="auto" w:sz="8" w:space="0"/>
              <w:left w:val="single" w:color="auto" w:sz="8" w:space="0"/>
              <w:bottom w:val="single" w:color="auto" w:sz="8" w:space="0"/>
              <w:right w:val="single" w:color="auto" w:sz="8" w:space="0"/>
            </w:tcBorders>
            <w:vAlign w:val="center"/>
          </w:tcPr>
          <w:p w14:paraId="1F939A54">
            <w:pPr>
              <w:widowControl/>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w:t>
            </w:r>
          </w:p>
        </w:tc>
        <w:tc>
          <w:tcPr>
            <w:tcW w:w="4150" w:type="dxa"/>
            <w:tcBorders>
              <w:top w:val="single" w:color="auto" w:sz="8" w:space="0"/>
              <w:left w:val="single" w:color="auto" w:sz="8" w:space="0"/>
              <w:bottom w:val="single" w:color="auto" w:sz="8" w:space="0"/>
              <w:right w:val="single" w:color="auto" w:sz="8" w:space="0"/>
            </w:tcBorders>
            <w:vAlign w:val="center"/>
          </w:tcPr>
          <w:p w14:paraId="1E68FFDA">
            <w:pPr>
              <w:widowControl/>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年</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月</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日至</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年</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月</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日</w:t>
            </w:r>
          </w:p>
        </w:tc>
        <w:tc>
          <w:tcPr>
            <w:tcW w:w="1433" w:type="dxa"/>
            <w:tcBorders>
              <w:top w:val="single" w:color="auto" w:sz="8" w:space="0"/>
              <w:left w:val="single" w:color="auto" w:sz="8" w:space="0"/>
              <w:bottom w:val="single" w:color="auto" w:sz="8" w:space="0"/>
              <w:right w:val="single" w:color="auto" w:sz="8" w:space="0"/>
            </w:tcBorders>
            <w:vAlign w:val="center"/>
          </w:tcPr>
          <w:p w14:paraId="52259515">
            <w:pPr>
              <w:widowControl/>
              <w:jc w:val="center"/>
              <w:rPr>
                <w:rFonts w:hint="eastAsia" w:ascii="仿宋" w:hAnsi="仿宋" w:eastAsia="仿宋" w:cs="仿宋"/>
                <w:color w:val="auto"/>
                <w:kern w:val="0"/>
                <w:sz w:val="21"/>
                <w:szCs w:val="21"/>
                <w:highlight w:val="none"/>
              </w:rPr>
            </w:pPr>
          </w:p>
        </w:tc>
        <w:tc>
          <w:tcPr>
            <w:tcW w:w="1348" w:type="dxa"/>
            <w:tcBorders>
              <w:top w:val="single" w:color="auto" w:sz="8" w:space="0"/>
              <w:left w:val="single" w:color="auto" w:sz="8" w:space="0"/>
              <w:bottom w:val="single" w:color="auto" w:sz="8" w:space="0"/>
              <w:right w:val="single" w:color="auto" w:sz="8" w:space="0"/>
            </w:tcBorders>
            <w:vAlign w:val="center"/>
          </w:tcPr>
          <w:p w14:paraId="0C84ADEA">
            <w:pPr>
              <w:widowControl/>
              <w:jc w:val="center"/>
              <w:rPr>
                <w:rFonts w:hint="eastAsia" w:ascii="仿宋" w:hAnsi="仿宋" w:eastAsia="仿宋" w:cs="仿宋"/>
                <w:color w:val="auto"/>
                <w:kern w:val="0"/>
                <w:sz w:val="21"/>
                <w:szCs w:val="21"/>
                <w:highlight w:val="none"/>
              </w:rPr>
            </w:pPr>
          </w:p>
        </w:tc>
      </w:tr>
      <w:tr w14:paraId="61587740">
        <w:tblPrEx>
          <w:tblCellMar>
            <w:top w:w="0" w:type="dxa"/>
            <w:left w:w="108" w:type="dxa"/>
            <w:bottom w:w="0" w:type="dxa"/>
            <w:right w:w="108" w:type="dxa"/>
          </w:tblCellMar>
        </w:tblPrEx>
        <w:trPr>
          <w:trHeight w:val="302" w:hRule="atLeast"/>
        </w:trPr>
        <w:tc>
          <w:tcPr>
            <w:tcW w:w="1454" w:type="dxa"/>
            <w:tcBorders>
              <w:top w:val="nil"/>
              <w:left w:val="single" w:color="auto" w:sz="8" w:space="0"/>
              <w:bottom w:val="single" w:color="auto" w:sz="8" w:space="0"/>
              <w:right w:val="single" w:color="auto" w:sz="8" w:space="0"/>
            </w:tcBorders>
            <w:vAlign w:val="center"/>
          </w:tcPr>
          <w:p w14:paraId="17A261A7">
            <w:pPr>
              <w:widowControl/>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w:t>
            </w:r>
          </w:p>
        </w:tc>
        <w:tc>
          <w:tcPr>
            <w:tcW w:w="4150" w:type="dxa"/>
            <w:tcBorders>
              <w:top w:val="single" w:color="auto" w:sz="8" w:space="0"/>
              <w:left w:val="single" w:color="auto" w:sz="8" w:space="0"/>
              <w:bottom w:val="single" w:color="auto" w:sz="8" w:space="0"/>
              <w:right w:val="single" w:color="auto" w:sz="8" w:space="0"/>
            </w:tcBorders>
            <w:vAlign w:val="center"/>
          </w:tcPr>
          <w:p w14:paraId="2B2608B0">
            <w:pPr>
              <w:widowControl/>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年</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月</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日至</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年</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月</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日</w:t>
            </w:r>
          </w:p>
        </w:tc>
        <w:tc>
          <w:tcPr>
            <w:tcW w:w="1433" w:type="dxa"/>
            <w:tcBorders>
              <w:top w:val="single" w:color="auto" w:sz="8" w:space="0"/>
              <w:left w:val="single" w:color="auto" w:sz="8" w:space="0"/>
              <w:bottom w:val="single" w:color="auto" w:sz="8" w:space="0"/>
              <w:right w:val="single" w:color="auto" w:sz="8" w:space="0"/>
            </w:tcBorders>
            <w:vAlign w:val="center"/>
          </w:tcPr>
          <w:p w14:paraId="54487EDD">
            <w:pPr>
              <w:widowControl/>
              <w:jc w:val="center"/>
              <w:rPr>
                <w:rFonts w:hint="eastAsia" w:ascii="仿宋" w:hAnsi="仿宋" w:eastAsia="仿宋" w:cs="仿宋"/>
                <w:color w:val="auto"/>
                <w:kern w:val="0"/>
                <w:sz w:val="21"/>
                <w:szCs w:val="21"/>
                <w:highlight w:val="none"/>
              </w:rPr>
            </w:pPr>
          </w:p>
        </w:tc>
        <w:tc>
          <w:tcPr>
            <w:tcW w:w="1348" w:type="dxa"/>
            <w:tcBorders>
              <w:top w:val="single" w:color="auto" w:sz="8" w:space="0"/>
              <w:left w:val="single" w:color="auto" w:sz="8" w:space="0"/>
              <w:bottom w:val="single" w:color="auto" w:sz="8" w:space="0"/>
              <w:right w:val="single" w:color="auto" w:sz="8" w:space="0"/>
            </w:tcBorders>
            <w:vAlign w:val="center"/>
          </w:tcPr>
          <w:p w14:paraId="1178A11C">
            <w:pPr>
              <w:widowControl/>
              <w:jc w:val="center"/>
              <w:rPr>
                <w:rFonts w:hint="eastAsia" w:ascii="仿宋" w:hAnsi="仿宋" w:eastAsia="仿宋" w:cs="仿宋"/>
                <w:color w:val="auto"/>
                <w:kern w:val="0"/>
                <w:sz w:val="21"/>
                <w:szCs w:val="21"/>
                <w:highlight w:val="none"/>
              </w:rPr>
            </w:pPr>
          </w:p>
        </w:tc>
      </w:tr>
      <w:tr w14:paraId="11DA5C60">
        <w:tblPrEx>
          <w:tblCellMar>
            <w:top w:w="0" w:type="dxa"/>
            <w:left w:w="108" w:type="dxa"/>
            <w:bottom w:w="0" w:type="dxa"/>
            <w:right w:w="108" w:type="dxa"/>
          </w:tblCellMar>
        </w:tblPrEx>
        <w:trPr>
          <w:trHeight w:val="302" w:hRule="atLeast"/>
        </w:trPr>
        <w:tc>
          <w:tcPr>
            <w:tcW w:w="1454" w:type="dxa"/>
            <w:tcBorders>
              <w:top w:val="single" w:color="auto" w:sz="8" w:space="0"/>
              <w:left w:val="single" w:color="auto" w:sz="8" w:space="0"/>
              <w:bottom w:val="single" w:color="auto" w:sz="8" w:space="0"/>
              <w:right w:val="single" w:color="auto" w:sz="8" w:space="0"/>
            </w:tcBorders>
            <w:vAlign w:val="center"/>
          </w:tcPr>
          <w:p w14:paraId="286F3605">
            <w:pPr>
              <w:widowControl/>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w:t>
            </w:r>
          </w:p>
        </w:tc>
        <w:tc>
          <w:tcPr>
            <w:tcW w:w="4150" w:type="dxa"/>
            <w:tcBorders>
              <w:top w:val="single" w:color="auto" w:sz="8" w:space="0"/>
              <w:left w:val="single" w:color="auto" w:sz="8" w:space="0"/>
              <w:bottom w:val="single" w:color="auto" w:sz="8" w:space="0"/>
              <w:right w:val="single" w:color="auto" w:sz="8" w:space="0"/>
            </w:tcBorders>
            <w:vAlign w:val="center"/>
          </w:tcPr>
          <w:p w14:paraId="761B5628">
            <w:pPr>
              <w:widowControl/>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年</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月</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日至</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年</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月</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日</w:t>
            </w:r>
          </w:p>
        </w:tc>
        <w:tc>
          <w:tcPr>
            <w:tcW w:w="1433" w:type="dxa"/>
            <w:tcBorders>
              <w:top w:val="single" w:color="auto" w:sz="8" w:space="0"/>
              <w:left w:val="single" w:color="auto" w:sz="8" w:space="0"/>
              <w:bottom w:val="single" w:color="auto" w:sz="8" w:space="0"/>
              <w:right w:val="single" w:color="auto" w:sz="8" w:space="0"/>
            </w:tcBorders>
            <w:vAlign w:val="center"/>
          </w:tcPr>
          <w:p w14:paraId="7DC1B2D2">
            <w:pPr>
              <w:widowControl/>
              <w:jc w:val="center"/>
              <w:rPr>
                <w:rFonts w:hint="eastAsia" w:ascii="仿宋" w:hAnsi="仿宋" w:eastAsia="仿宋" w:cs="仿宋"/>
                <w:color w:val="auto"/>
                <w:kern w:val="0"/>
                <w:sz w:val="21"/>
                <w:szCs w:val="21"/>
                <w:highlight w:val="none"/>
              </w:rPr>
            </w:pPr>
          </w:p>
        </w:tc>
        <w:tc>
          <w:tcPr>
            <w:tcW w:w="1348" w:type="dxa"/>
            <w:tcBorders>
              <w:top w:val="single" w:color="auto" w:sz="8" w:space="0"/>
              <w:left w:val="single" w:color="auto" w:sz="8" w:space="0"/>
              <w:bottom w:val="single" w:color="auto" w:sz="8" w:space="0"/>
              <w:right w:val="single" w:color="auto" w:sz="8" w:space="0"/>
            </w:tcBorders>
            <w:vAlign w:val="center"/>
          </w:tcPr>
          <w:p w14:paraId="44426F86">
            <w:pPr>
              <w:widowControl/>
              <w:jc w:val="center"/>
              <w:rPr>
                <w:rFonts w:hint="eastAsia" w:ascii="仿宋" w:hAnsi="仿宋" w:eastAsia="仿宋" w:cs="仿宋"/>
                <w:color w:val="auto"/>
                <w:kern w:val="0"/>
                <w:sz w:val="21"/>
                <w:szCs w:val="21"/>
                <w:highlight w:val="none"/>
              </w:rPr>
            </w:pPr>
          </w:p>
        </w:tc>
      </w:tr>
      <w:tr w14:paraId="1244EDB6">
        <w:tblPrEx>
          <w:tblCellMar>
            <w:top w:w="0" w:type="dxa"/>
            <w:left w:w="108" w:type="dxa"/>
            <w:bottom w:w="0" w:type="dxa"/>
            <w:right w:w="108" w:type="dxa"/>
          </w:tblCellMar>
        </w:tblPrEx>
        <w:trPr>
          <w:trHeight w:val="302" w:hRule="atLeast"/>
        </w:trPr>
        <w:tc>
          <w:tcPr>
            <w:tcW w:w="1454" w:type="dxa"/>
            <w:tcBorders>
              <w:top w:val="single" w:color="auto" w:sz="8" w:space="0"/>
              <w:left w:val="single" w:color="auto" w:sz="8" w:space="0"/>
              <w:bottom w:val="single" w:color="auto" w:sz="8" w:space="0"/>
              <w:right w:val="single" w:color="auto" w:sz="8" w:space="0"/>
            </w:tcBorders>
            <w:vAlign w:val="center"/>
          </w:tcPr>
          <w:p w14:paraId="5A3A335F">
            <w:pPr>
              <w:widowControl/>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w:t>
            </w:r>
          </w:p>
        </w:tc>
        <w:tc>
          <w:tcPr>
            <w:tcW w:w="4150" w:type="dxa"/>
            <w:tcBorders>
              <w:top w:val="single" w:color="auto" w:sz="8" w:space="0"/>
              <w:left w:val="single" w:color="auto" w:sz="8" w:space="0"/>
              <w:bottom w:val="single" w:color="auto" w:sz="8" w:space="0"/>
              <w:right w:val="single" w:color="auto" w:sz="8" w:space="0"/>
            </w:tcBorders>
            <w:vAlign w:val="center"/>
          </w:tcPr>
          <w:p w14:paraId="2CBB8505">
            <w:pPr>
              <w:widowControl/>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年</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月</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日至</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年</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月</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日</w:t>
            </w:r>
          </w:p>
        </w:tc>
        <w:tc>
          <w:tcPr>
            <w:tcW w:w="1433" w:type="dxa"/>
            <w:tcBorders>
              <w:top w:val="single" w:color="auto" w:sz="8" w:space="0"/>
              <w:left w:val="single" w:color="auto" w:sz="8" w:space="0"/>
              <w:bottom w:val="single" w:color="auto" w:sz="8" w:space="0"/>
              <w:right w:val="single" w:color="auto" w:sz="8" w:space="0"/>
            </w:tcBorders>
            <w:vAlign w:val="center"/>
          </w:tcPr>
          <w:p w14:paraId="16AB3FBD">
            <w:pPr>
              <w:widowControl/>
              <w:jc w:val="center"/>
              <w:rPr>
                <w:rFonts w:hint="eastAsia" w:ascii="仿宋" w:hAnsi="仿宋" w:eastAsia="仿宋" w:cs="仿宋"/>
                <w:color w:val="auto"/>
                <w:kern w:val="0"/>
                <w:sz w:val="21"/>
                <w:szCs w:val="21"/>
                <w:highlight w:val="none"/>
              </w:rPr>
            </w:pPr>
          </w:p>
        </w:tc>
        <w:tc>
          <w:tcPr>
            <w:tcW w:w="1348" w:type="dxa"/>
            <w:tcBorders>
              <w:top w:val="single" w:color="auto" w:sz="8" w:space="0"/>
              <w:left w:val="single" w:color="auto" w:sz="8" w:space="0"/>
              <w:bottom w:val="single" w:color="auto" w:sz="8" w:space="0"/>
              <w:right w:val="single" w:color="auto" w:sz="8" w:space="0"/>
            </w:tcBorders>
            <w:vAlign w:val="center"/>
          </w:tcPr>
          <w:p w14:paraId="22024AE9">
            <w:pPr>
              <w:widowControl/>
              <w:jc w:val="center"/>
              <w:rPr>
                <w:rFonts w:hint="eastAsia" w:ascii="仿宋" w:hAnsi="仿宋" w:eastAsia="仿宋" w:cs="仿宋"/>
                <w:color w:val="auto"/>
                <w:kern w:val="0"/>
                <w:sz w:val="21"/>
                <w:szCs w:val="21"/>
                <w:highlight w:val="none"/>
              </w:rPr>
            </w:pPr>
          </w:p>
        </w:tc>
      </w:tr>
      <w:tr w14:paraId="1DB6AB40">
        <w:tblPrEx>
          <w:tblCellMar>
            <w:top w:w="0" w:type="dxa"/>
            <w:left w:w="108" w:type="dxa"/>
            <w:bottom w:w="0" w:type="dxa"/>
            <w:right w:w="108" w:type="dxa"/>
          </w:tblCellMar>
        </w:tblPrEx>
        <w:trPr>
          <w:trHeight w:val="675" w:hRule="atLeast"/>
        </w:trPr>
        <w:tc>
          <w:tcPr>
            <w:tcW w:w="8385" w:type="dxa"/>
            <w:gridSpan w:val="4"/>
            <w:tcBorders>
              <w:top w:val="nil"/>
              <w:left w:val="single" w:color="auto" w:sz="8" w:space="0"/>
              <w:bottom w:val="single" w:color="auto" w:sz="8" w:space="0"/>
              <w:right w:val="single" w:color="auto" w:sz="8" w:space="0"/>
            </w:tcBorders>
            <w:vAlign w:val="center"/>
          </w:tcPr>
          <w:p w14:paraId="20A9279C">
            <w:pPr>
              <w:widowControl/>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合同期租金总额</w:t>
            </w:r>
            <w:r>
              <w:rPr>
                <w:rFonts w:hint="eastAsia" w:ascii="仿宋" w:hAnsi="仿宋" w:eastAsia="仿宋" w:cs="仿宋"/>
                <w:color w:val="auto"/>
                <w:kern w:val="0"/>
                <w:sz w:val="21"/>
                <w:szCs w:val="21"/>
                <w:highlight w:val="none"/>
                <w:u w:val="single"/>
                <w:lang w:bidi="ar"/>
              </w:rPr>
              <w:t xml:space="preserve">          </w:t>
            </w:r>
            <w:r>
              <w:rPr>
                <w:rFonts w:hint="eastAsia" w:ascii="仿宋" w:hAnsi="仿宋" w:eastAsia="仿宋" w:cs="仿宋"/>
                <w:color w:val="auto"/>
                <w:kern w:val="0"/>
                <w:sz w:val="21"/>
                <w:szCs w:val="21"/>
                <w:highlight w:val="none"/>
                <w:lang w:bidi="ar"/>
              </w:rPr>
              <w:t>元，其中税额</w:t>
            </w:r>
            <w:r>
              <w:rPr>
                <w:rFonts w:hint="eastAsia" w:ascii="仿宋" w:hAnsi="仿宋" w:eastAsia="仿宋" w:cs="仿宋"/>
                <w:color w:val="auto"/>
                <w:kern w:val="0"/>
                <w:sz w:val="21"/>
                <w:szCs w:val="21"/>
                <w:highlight w:val="none"/>
                <w:u w:val="single"/>
                <w:lang w:bidi="ar"/>
              </w:rPr>
              <w:t xml:space="preserve">           </w:t>
            </w:r>
            <w:r>
              <w:rPr>
                <w:rFonts w:hint="eastAsia" w:ascii="仿宋" w:hAnsi="仿宋" w:eastAsia="仿宋" w:cs="仿宋"/>
                <w:color w:val="auto"/>
                <w:kern w:val="0"/>
                <w:sz w:val="21"/>
                <w:szCs w:val="21"/>
                <w:highlight w:val="none"/>
                <w:lang w:bidi="ar"/>
              </w:rPr>
              <w:t>元，不含税租金</w:t>
            </w:r>
            <w:r>
              <w:rPr>
                <w:rFonts w:hint="eastAsia" w:ascii="仿宋" w:hAnsi="仿宋" w:eastAsia="仿宋" w:cs="仿宋"/>
                <w:color w:val="auto"/>
                <w:kern w:val="0"/>
                <w:sz w:val="21"/>
                <w:szCs w:val="21"/>
                <w:highlight w:val="none"/>
                <w:u w:val="single"/>
                <w:lang w:bidi="ar"/>
              </w:rPr>
              <w:t xml:space="preserve">          </w:t>
            </w:r>
            <w:r>
              <w:rPr>
                <w:rFonts w:hint="eastAsia" w:ascii="仿宋" w:hAnsi="仿宋" w:eastAsia="仿宋" w:cs="仿宋"/>
                <w:color w:val="auto"/>
                <w:kern w:val="0"/>
                <w:sz w:val="21"/>
                <w:szCs w:val="21"/>
                <w:highlight w:val="none"/>
                <w:lang w:bidi="ar"/>
              </w:rPr>
              <w:t>元。</w:t>
            </w:r>
          </w:p>
        </w:tc>
      </w:tr>
    </w:tbl>
    <w:p w14:paraId="33A4D2C5">
      <w:pPr>
        <w:adjustRightInd w:val="0"/>
        <w:snapToGrid w:val="0"/>
        <w:spacing w:line="24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2、乙方应按每三个月为一期的形式向甲方支付租金，本合同签订后</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日内，乙方应交纳首期租金</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元（大写:</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），从交纳第二期租金开始（</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年</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月</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日，若房屋的实际交付日期与本合同约定的交付日期不一致，以补充协议日期为准）乙方应于每期开始之第一个月份的第</w:t>
      </w:r>
      <w:r>
        <w:rPr>
          <w:rFonts w:hint="eastAsia" w:ascii="仿宋" w:hAnsi="仿宋" w:eastAsia="仿宋" w:cs="仿宋"/>
          <w:color w:val="auto"/>
          <w:highlight w:val="none"/>
          <w:u w:val="single"/>
        </w:rPr>
        <w:t xml:space="preserve"> 五 </w:t>
      </w:r>
      <w:r>
        <w:rPr>
          <w:rFonts w:hint="eastAsia" w:ascii="仿宋" w:hAnsi="仿宋" w:eastAsia="仿宋" w:cs="仿宋"/>
          <w:color w:val="auto"/>
          <w:highlight w:val="none"/>
        </w:rPr>
        <w:t>日前（如遇法定节假日，则相应顺延至法定节假日结束后的第一个工作日）交清该期租金，以此类推。</w:t>
      </w:r>
    </w:p>
    <w:p w14:paraId="4686FA81">
      <w:pPr>
        <w:adjustRightInd w:val="0"/>
        <w:snapToGrid w:val="0"/>
        <w:spacing w:line="24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3、本合同约定的租金为含税价格，在合同履行期间，租金不因国家税率的调整而调整。</w:t>
      </w:r>
    </w:p>
    <w:p w14:paraId="5F12C5F8">
      <w:pPr>
        <w:spacing w:line="240" w:lineRule="auto"/>
        <w:ind w:firstLine="482" w:firstLineChars="200"/>
        <w:rPr>
          <w:rFonts w:hint="eastAsia" w:ascii="仿宋" w:hAnsi="仿宋" w:eastAsia="仿宋" w:cs="仿宋"/>
          <w:b/>
          <w:bCs/>
          <w:color w:val="auto"/>
          <w:highlight w:val="none"/>
        </w:rPr>
      </w:pPr>
      <w:r>
        <w:rPr>
          <w:rFonts w:hint="eastAsia" w:ascii="仿宋" w:hAnsi="仿宋" w:eastAsia="仿宋" w:cs="仿宋"/>
          <w:b/>
          <w:bCs/>
          <w:color w:val="auto"/>
          <w:highlight w:val="none"/>
        </w:rPr>
        <w:t>第四条 租赁期间其他相关费用</w:t>
      </w:r>
    </w:p>
    <w:p w14:paraId="338C9D3B">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1、租赁期间，除租金外，乙方因租赁房屋产生的一切费用，包括但不限于水电费（含公摊）、燃气费、物业管理费、房屋维修金、有线电视费、通讯费用、网络费用以及本合同未列明的其他费用均由乙方自行承担。</w:t>
      </w:r>
    </w:p>
    <w:p w14:paraId="366FFC56">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2、</w:t>
      </w:r>
      <w:r>
        <w:rPr>
          <w:rFonts w:hint="eastAsia" w:ascii="仿宋" w:hAnsi="仿宋" w:eastAsia="仿宋" w:cs="仿宋"/>
          <w:color w:val="auto"/>
          <w:highlight w:val="none"/>
        </w:rPr>
        <w:t>乙方应接受甲方或甲方委托的物业公司提供的物业管理服务</w:t>
      </w:r>
      <w:r>
        <w:rPr>
          <w:rFonts w:hint="eastAsia" w:ascii="仿宋" w:hAnsi="仿宋" w:eastAsia="仿宋" w:cs="仿宋"/>
          <w:color w:val="auto"/>
          <w:highlight w:val="none"/>
        </w:rPr>
        <w:t>并接受其约束；乙方应依据甲方或物业管理公司的规定按时缴纳物业管理费、公共维修金、水电费及公摊水电费用。上述费用按照甲方的安排支付给甲方或物业管理公司，今后上述费用的调整和缴纳方式按甲方或物业管理公司的统一规定为准。</w:t>
      </w:r>
    </w:p>
    <w:p w14:paraId="58AE95E4">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3、乙方应依照相关单位的规定按时缴交各项费用，若有拖欠，所造成的后果由乙方自行负责，若因此而造成甲方损失，乙方应负责赔偿。</w:t>
      </w:r>
    </w:p>
    <w:p w14:paraId="2127FE9D">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4、若采取由甲方代缴方式的，乙方应在收到甲方缴费通知之日后</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日内向甲方足额支付有关费用。</w:t>
      </w:r>
    </w:p>
    <w:p w14:paraId="363ABE5A">
      <w:pPr>
        <w:spacing w:line="240" w:lineRule="auto"/>
        <w:ind w:firstLine="477" w:firstLineChars="198"/>
        <w:rPr>
          <w:rFonts w:hint="eastAsia" w:ascii="仿宋" w:hAnsi="仿宋" w:eastAsia="仿宋" w:cs="仿宋"/>
          <w:b/>
          <w:bCs/>
          <w:color w:val="auto"/>
          <w:highlight w:val="none"/>
        </w:rPr>
      </w:pPr>
      <w:r>
        <w:rPr>
          <w:rFonts w:hint="eastAsia" w:ascii="仿宋" w:hAnsi="仿宋" w:eastAsia="仿宋" w:cs="仿宋"/>
          <w:b/>
          <w:bCs/>
          <w:color w:val="auto"/>
          <w:highlight w:val="none"/>
        </w:rPr>
        <w:t>第五条 履约保证金</w:t>
      </w:r>
    </w:p>
    <w:p w14:paraId="092A2B27">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1、本合同签订后</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个工作日内，乙方应一次性向甲方交纳履约保证金人民币</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元（大写</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元整），此为本合同生效之必要条件，逾期交纳视为乙方放弃承租，甲方有权将租赁房屋出租给其他第三方。</w:t>
      </w:r>
      <w:r>
        <w:rPr>
          <w:rFonts w:hint="eastAsia" w:ascii="仿宋" w:hAnsi="仿宋" w:eastAsia="仿宋" w:cs="仿宋"/>
          <w:color w:val="auto"/>
          <w:highlight w:val="none"/>
        </w:rPr>
        <w:t>乙方原缴交至</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的竞租保证金人民币</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元（大写:</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元整）自动转为本合同履约保证金，超出部分人民币</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元转为首期租金</w:t>
      </w:r>
      <w:r>
        <w:rPr>
          <w:rFonts w:hint="eastAsia" w:ascii="仿宋" w:hAnsi="仿宋" w:eastAsia="仿宋" w:cs="仿宋"/>
          <w:color w:val="auto"/>
          <w:highlight w:val="none"/>
        </w:rPr>
        <w:t>（选择性条款）</w:t>
      </w:r>
      <w:r>
        <w:rPr>
          <w:rFonts w:hint="eastAsia" w:ascii="仿宋" w:hAnsi="仿宋" w:eastAsia="仿宋" w:cs="仿宋"/>
          <w:color w:val="auto"/>
          <w:highlight w:val="none"/>
        </w:rPr>
        <w:t>。</w:t>
      </w:r>
    </w:p>
    <w:p w14:paraId="54929782">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2、若本合同解除、终止或者期满未续租的，乙方无违约并如期将租赁房屋完整无损交还给甲方，且乙方已向有关部门办理完毕登记在租赁房屋项下的工商、税务等住所登记或经营场所备案等迁移或撤销手续后，甲方可将履约保证金余额无息退还乙方。乙方超过30日未完成以上要求的，甲方有权不予退还履约保证金。</w:t>
      </w:r>
    </w:p>
    <w:p w14:paraId="2D2C10E6">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3、合同到期或非因本合同第十条第3款的情形导致合同提前终止，乙方拖欠租金、违约金、赔偿金和其他相关费用，甲方有权从乙方所缴交的履约保证金中直接抵扣，不足部分乙方还需向甲方缴交。</w:t>
      </w:r>
    </w:p>
    <w:p w14:paraId="02523974">
      <w:pPr>
        <w:spacing w:line="240" w:lineRule="auto"/>
        <w:ind w:firstLine="477" w:firstLineChars="198"/>
        <w:rPr>
          <w:rFonts w:hint="eastAsia" w:ascii="仿宋" w:hAnsi="仿宋" w:eastAsia="仿宋" w:cs="仿宋"/>
          <w:b/>
          <w:bCs/>
          <w:color w:val="auto"/>
          <w:highlight w:val="none"/>
        </w:rPr>
      </w:pPr>
      <w:r>
        <w:rPr>
          <w:rFonts w:hint="eastAsia" w:ascii="仿宋" w:hAnsi="仿宋" w:eastAsia="仿宋" w:cs="仿宋"/>
          <w:b/>
          <w:bCs/>
          <w:color w:val="auto"/>
          <w:highlight w:val="none"/>
        </w:rPr>
        <w:t>第六条 付款方式</w:t>
      </w:r>
    </w:p>
    <w:p w14:paraId="63933AF1">
      <w:pPr>
        <w:adjustRightInd w:val="0"/>
        <w:snapToGrid w:val="0"/>
        <w:spacing w:line="276" w:lineRule="auto"/>
        <w:ind w:firstLine="480" w:firstLineChars="200"/>
        <w:rPr>
          <w:rFonts w:hint="eastAsia" w:ascii="仿宋" w:hAnsi="仿宋" w:eastAsia="仿宋" w:cs="仿宋"/>
          <w:strike/>
          <w:color w:val="auto"/>
          <w:highlight w:val="none"/>
        </w:rPr>
      </w:pPr>
      <w:r>
        <w:rPr>
          <w:rFonts w:hint="eastAsia" w:ascii="仿宋" w:hAnsi="仿宋" w:eastAsia="仿宋" w:cs="仿宋"/>
          <w:color w:val="auto"/>
          <w:highlight w:val="none"/>
        </w:rPr>
        <w:t>1、乙方依约定应付的租金、租赁期内其他相关费用、履约保证金及其他与甲方往来的款项以银行转账或委托银行代扣的方式向甲方履行。</w:t>
      </w:r>
    </w:p>
    <w:p w14:paraId="2F21142E">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2、乙方使用转账的方式支付租金、履约保证金及其他与甲方往来款项的账户信息如下：</w:t>
      </w:r>
    </w:p>
    <w:tbl>
      <w:tblPr>
        <w:tblStyle w:val="8"/>
        <w:tblW w:w="85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2913"/>
        <w:gridCol w:w="3420"/>
      </w:tblGrid>
      <w:tr w14:paraId="13811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Borders>
              <w:top w:val="single" w:color="auto" w:sz="4" w:space="0"/>
              <w:left w:val="single" w:color="auto" w:sz="4" w:space="0"/>
              <w:bottom w:val="single" w:color="auto" w:sz="4" w:space="0"/>
              <w:right w:val="single" w:color="auto" w:sz="4" w:space="0"/>
            </w:tcBorders>
          </w:tcPr>
          <w:p w14:paraId="2A7207E0">
            <w:pPr>
              <w:adjustRightInd w:val="0"/>
              <w:snapToGrid w:val="0"/>
              <w:spacing w:line="276" w:lineRule="auto"/>
              <w:rPr>
                <w:rFonts w:hint="eastAsia" w:ascii="仿宋" w:hAnsi="仿宋" w:eastAsia="仿宋" w:cs="仿宋"/>
                <w:color w:val="auto"/>
                <w:highlight w:val="none"/>
              </w:rPr>
            </w:pPr>
            <w:r>
              <w:rPr>
                <w:rFonts w:hint="eastAsia" w:ascii="仿宋" w:hAnsi="仿宋" w:eastAsia="仿宋" w:cs="仿宋"/>
                <w:color w:val="auto"/>
                <w:highlight w:val="none"/>
              </w:rPr>
              <w:t>开户名称（收款人）</w:t>
            </w:r>
          </w:p>
        </w:tc>
        <w:tc>
          <w:tcPr>
            <w:tcW w:w="2913" w:type="dxa"/>
            <w:tcBorders>
              <w:top w:val="single" w:color="auto" w:sz="4" w:space="0"/>
              <w:left w:val="single" w:color="auto" w:sz="4" w:space="0"/>
              <w:bottom w:val="single" w:color="auto" w:sz="4" w:space="0"/>
              <w:right w:val="single" w:color="auto" w:sz="4" w:space="0"/>
            </w:tcBorders>
          </w:tcPr>
          <w:p w14:paraId="23B50512">
            <w:pPr>
              <w:adjustRightInd w:val="0"/>
              <w:snapToGrid w:val="0"/>
              <w:spacing w:line="276" w:lineRule="auto"/>
              <w:rPr>
                <w:rFonts w:hint="eastAsia" w:ascii="仿宋" w:hAnsi="仿宋" w:eastAsia="仿宋" w:cs="仿宋"/>
                <w:b/>
                <w:bCs/>
                <w:color w:val="auto"/>
                <w:highlight w:val="none"/>
              </w:rPr>
            </w:pPr>
          </w:p>
        </w:tc>
        <w:tc>
          <w:tcPr>
            <w:tcW w:w="3420" w:type="dxa"/>
            <w:tcBorders>
              <w:top w:val="single" w:color="auto" w:sz="4" w:space="0"/>
              <w:left w:val="single" w:color="auto" w:sz="4" w:space="0"/>
              <w:bottom w:val="single" w:color="auto" w:sz="4" w:space="0"/>
              <w:right w:val="single" w:color="auto" w:sz="4" w:space="0"/>
            </w:tcBorders>
          </w:tcPr>
          <w:p w14:paraId="57EA21E1">
            <w:pPr>
              <w:adjustRightInd w:val="0"/>
              <w:snapToGrid w:val="0"/>
              <w:spacing w:line="276" w:lineRule="auto"/>
              <w:rPr>
                <w:rFonts w:hint="eastAsia" w:ascii="仿宋" w:hAnsi="仿宋" w:eastAsia="仿宋" w:cs="仿宋"/>
                <w:b/>
                <w:bCs/>
                <w:color w:val="auto"/>
                <w:kern w:val="0"/>
                <w:highlight w:val="none"/>
              </w:rPr>
            </w:pPr>
          </w:p>
        </w:tc>
      </w:tr>
      <w:tr w14:paraId="37AF8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Borders>
              <w:top w:val="single" w:color="auto" w:sz="4" w:space="0"/>
              <w:left w:val="single" w:color="auto" w:sz="4" w:space="0"/>
              <w:bottom w:val="single" w:color="auto" w:sz="4" w:space="0"/>
              <w:right w:val="single" w:color="auto" w:sz="4" w:space="0"/>
            </w:tcBorders>
          </w:tcPr>
          <w:p w14:paraId="23190B47">
            <w:pPr>
              <w:adjustRightInd w:val="0"/>
              <w:snapToGrid w:val="0"/>
              <w:spacing w:line="276" w:lineRule="auto"/>
              <w:rPr>
                <w:rFonts w:hint="eastAsia" w:ascii="仿宋" w:hAnsi="仿宋" w:eastAsia="仿宋" w:cs="仿宋"/>
                <w:color w:val="auto"/>
                <w:highlight w:val="none"/>
              </w:rPr>
            </w:pPr>
            <w:r>
              <w:rPr>
                <w:rFonts w:hint="eastAsia" w:ascii="仿宋" w:hAnsi="仿宋" w:eastAsia="仿宋" w:cs="仿宋"/>
                <w:color w:val="auto"/>
                <w:highlight w:val="none"/>
              </w:rPr>
              <w:t>开户行</w:t>
            </w:r>
          </w:p>
        </w:tc>
        <w:tc>
          <w:tcPr>
            <w:tcW w:w="2913" w:type="dxa"/>
            <w:tcBorders>
              <w:top w:val="single" w:color="auto" w:sz="4" w:space="0"/>
              <w:left w:val="single" w:color="auto" w:sz="4" w:space="0"/>
              <w:bottom w:val="single" w:color="auto" w:sz="4" w:space="0"/>
              <w:right w:val="single" w:color="auto" w:sz="4" w:space="0"/>
            </w:tcBorders>
          </w:tcPr>
          <w:p w14:paraId="4C392FC8">
            <w:pPr>
              <w:adjustRightInd w:val="0"/>
              <w:snapToGrid w:val="0"/>
              <w:spacing w:line="276" w:lineRule="auto"/>
              <w:rPr>
                <w:rFonts w:hint="eastAsia" w:ascii="仿宋" w:hAnsi="仿宋" w:eastAsia="仿宋" w:cs="仿宋"/>
                <w:b/>
                <w:bCs/>
                <w:color w:val="auto"/>
                <w:highlight w:val="none"/>
              </w:rPr>
            </w:pPr>
          </w:p>
        </w:tc>
        <w:tc>
          <w:tcPr>
            <w:tcW w:w="3420" w:type="dxa"/>
            <w:tcBorders>
              <w:top w:val="single" w:color="auto" w:sz="4" w:space="0"/>
              <w:left w:val="single" w:color="auto" w:sz="4" w:space="0"/>
              <w:bottom w:val="single" w:color="auto" w:sz="4" w:space="0"/>
              <w:right w:val="single" w:color="auto" w:sz="4" w:space="0"/>
            </w:tcBorders>
          </w:tcPr>
          <w:p w14:paraId="64002891">
            <w:pPr>
              <w:adjustRightInd w:val="0"/>
              <w:snapToGrid w:val="0"/>
              <w:spacing w:line="276" w:lineRule="auto"/>
              <w:rPr>
                <w:rFonts w:hint="eastAsia" w:ascii="仿宋" w:hAnsi="仿宋" w:eastAsia="仿宋" w:cs="仿宋"/>
                <w:b/>
                <w:bCs/>
                <w:color w:val="auto"/>
                <w:highlight w:val="none"/>
              </w:rPr>
            </w:pPr>
          </w:p>
        </w:tc>
      </w:tr>
      <w:tr w14:paraId="6E78E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Borders>
              <w:top w:val="single" w:color="auto" w:sz="4" w:space="0"/>
              <w:left w:val="single" w:color="auto" w:sz="4" w:space="0"/>
              <w:bottom w:val="single" w:color="auto" w:sz="4" w:space="0"/>
              <w:right w:val="single" w:color="auto" w:sz="4" w:space="0"/>
            </w:tcBorders>
          </w:tcPr>
          <w:p w14:paraId="7647DB84">
            <w:pPr>
              <w:adjustRightInd w:val="0"/>
              <w:snapToGrid w:val="0"/>
              <w:spacing w:line="276" w:lineRule="auto"/>
              <w:rPr>
                <w:rFonts w:hint="eastAsia" w:ascii="仿宋" w:hAnsi="仿宋" w:eastAsia="仿宋" w:cs="仿宋"/>
                <w:color w:val="auto"/>
                <w:highlight w:val="none"/>
              </w:rPr>
            </w:pPr>
            <w:r>
              <w:rPr>
                <w:rFonts w:hint="eastAsia" w:ascii="仿宋" w:hAnsi="仿宋" w:eastAsia="仿宋" w:cs="仿宋"/>
                <w:color w:val="auto"/>
                <w:highlight w:val="none"/>
              </w:rPr>
              <w:t>账号</w:t>
            </w:r>
          </w:p>
        </w:tc>
        <w:tc>
          <w:tcPr>
            <w:tcW w:w="2913" w:type="dxa"/>
            <w:tcBorders>
              <w:top w:val="single" w:color="auto" w:sz="4" w:space="0"/>
              <w:left w:val="single" w:color="auto" w:sz="4" w:space="0"/>
              <w:bottom w:val="single" w:color="auto" w:sz="4" w:space="0"/>
              <w:right w:val="single" w:color="auto" w:sz="4" w:space="0"/>
            </w:tcBorders>
          </w:tcPr>
          <w:p w14:paraId="28D6649D">
            <w:pPr>
              <w:adjustRightInd w:val="0"/>
              <w:snapToGrid w:val="0"/>
              <w:spacing w:line="276" w:lineRule="auto"/>
              <w:rPr>
                <w:rFonts w:hint="eastAsia" w:ascii="仿宋" w:hAnsi="仿宋" w:eastAsia="仿宋" w:cs="仿宋"/>
                <w:b/>
                <w:bCs/>
                <w:color w:val="auto"/>
                <w:highlight w:val="none"/>
              </w:rPr>
            </w:pPr>
          </w:p>
        </w:tc>
        <w:tc>
          <w:tcPr>
            <w:tcW w:w="3420" w:type="dxa"/>
            <w:tcBorders>
              <w:top w:val="single" w:color="auto" w:sz="4" w:space="0"/>
              <w:left w:val="single" w:color="auto" w:sz="4" w:space="0"/>
              <w:bottom w:val="single" w:color="auto" w:sz="4" w:space="0"/>
              <w:right w:val="single" w:color="auto" w:sz="4" w:space="0"/>
            </w:tcBorders>
          </w:tcPr>
          <w:p w14:paraId="62EA1A3A">
            <w:pPr>
              <w:adjustRightInd w:val="0"/>
              <w:snapToGrid w:val="0"/>
              <w:spacing w:line="276" w:lineRule="auto"/>
              <w:rPr>
                <w:rFonts w:hint="eastAsia" w:ascii="仿宋" w:hAnsi="仿宋" w:eastAsia="仿宋" w:cs="仿宋"/>
                <w:b/>
                <w:bCs/>
                <w:color w:val="auto"/>
                <w:highlight w:val="none"/>
              </w:rPr>
            </w:pPr>
          </w:p>
        </w:tc>
      </w:tr>
    </w:tbl>
    <w:p w14:paraId="55081EC6">
      <w:pPr>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乙方应以自己的名义支付。若乙方需要委托其他单位或个人代交租金，一律应在租金交纳前向甲方出具统一格式的书面代付款声明（此种情况不能推定乙方转租其他单位或个人），否则甲方可以以无法认定所收款项为由，视乙方未支付前述款项。</w:t>
      </w:r>
    </w:p>
    <w:p w14:paraId="59713FA4">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3、在委托扣款期间，如乙方提供的代扣账户发生挂失、销户、冻结、止付等情况，乙方应以书面形式及时向甲方提供新的代扣账户，否则，因不提供新账户或提供不及时导致代扣不成功的，乙方承担相应的责任。</w:t>
      </w:r>
    </w:p>
    <w:p w14:paraId="0CEB8C24">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4、对于乙方所付款项，乙方同意甲方按“以季度为单位，先扣抵应缴租金，后扣抵应缴违约金”的方式扣缴。</w:t>
      </w:r>
    </w:p>
    <w:p w14:paraId="4E375D19">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5、甲方收到乙方相关款项后，提供正式票据给乙方。</w:t>
      </w:r>
    </w:p>
    <w:p w14:paraId="0AE7D7E3">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甲方开具的发票为增值税发票，乙方为自然人/小规模纳税人/一般纳税人</w:t>
      </w:r>
      <w:r>
        <w:rPr>
          <w:rFonts w:hint="eastAsia" w:ascii="仿宋" w:hAnsi="仿宋" w:eastAsia="仿宋" w:cs="仿宋"/>
          <w:color w:val="auto"/>
          <w:highlight w:val="none"/>
        </w:rPr>
        <w:t>（选择性条款）</w:t>
      </w:r>
      <w:r>
        <w:rPr>
          <w:rFonts w:hint="eastAsia" w:ascii="仿宋" w:hAnsi="仿宋" w:eastAsia="仿宋" w:cs="仿宋"/>
          <w:color w:val="auto"/>
          <w:highlight w:val="none"/>
        </w:rPr>
        <w:t>，开票信息如下表：</w:t>
      </w:r>
    </w:p>
    <w:tbl>
      <w:tblPr>
        <w:tblStyle w:val="8"/>
        <w:tblW w:w="8523" w:type="dxa"/>
        <w:tblInd w:w="0" w:type="dxa"/>
        <w:tblLayout w:type="fixed"/>
        <w:tblCellMar>
          <w:top w:w="0" w:type="dxa"/>
          <w:left w:w="108" w:type="dxa"/>
          <w:bottom w:w="0" w:type="dxa"/>
          <w:right w:w="108" w:type="dxa"/>
        </w:tblCellMar>
      </w:tblPr>
      <w:tblGrid>
        <w:gridCol w:w="1526"/>
        <w:gridCol w:w="6997"/>
      </w:tblGrid>
      <w:tr w14:paraId="7032FD5D">
        <w:tblPrEx>
          <w:tblCellMar>
            <w:top w:w="0" w:type="dxa"/>
            <w:left w:w="108" w:type="dxa"/>
            <w:bottom w:w="0" w:type="dxa"/>
            <w:right w:w="108" w:type="dxa"/>
          </w:tblCellMar>
        </w:tblPrEx>
        <w:trPr>
          <w:trHeight w:val="345" w:hRule="atLeast"/>
        </w:trPr>
        <w:tc>
          <w:tcPr>
            <w:tcW w:w="1526" w:type="dxa"/>
            <w:tcBorders>
              <w:top w:val="single" w:color="auto" w:sz="4" w:space="0"/>
              <w:left w:val="single" w:color="auto" w:sz="4" w:space="0"/>
              <w:bottom w:val="single" w:color="auto" w:sz="4" w:space="0"/>
              <w:right w:val="single" w:color="auto" w:sz="4" w:space="0"/>
            </w:tcBorders>
            <w:vAlign w:val="center"/>
          </w:tcPr>
          <w:p w14:paraId="404BA130">
            <w:pPr>
              <w:widowControl/>
              <w:adjustRightInd w:val="0"/>
              <w:snapToGrid w:val="0"/>
              <w:spacing w:line="276" w:lineRule="auto"/>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w:t>公司全称</w:t>
            </w:r>
          </w:p>
        </w:tc>
        <w:tc>
          <w:tcPr>
            <w:tcW w:w="6997" w:type="dxa"/>
            <w:tcBorders>
              <w:top w:val="single" w:color="auto" w:sz="4" w:space="0"/>
              <w:left w:val="nil"/>
              <w:bottom w:val="single" w:color="auto" w:sz="4" w:space="0"/>
              <w:right w:val="single" w:color="auto" w:sz="4" w:space="0"/>
            </w:tcBorders>
            <w:vAlign w:val="center"/>
          </w:tcPr>
          <w:p w14:paraId="1111D2BC">
            <w:pPr>
              <w:widowControl/>
              <w:adjustRightInd w:val="0"/>
              <w:snapToGrid w:val="0"/>
              <w:spacing w:line="276" w:lineRule="auto"/>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w:t>　</w:t>
            </w:r>
          </w:p>
        </w:tc>
      </w:tr>
      <w:tr w14:paraId="40561D9F">
        <w:tblPrEx>
          <w:tblCellMar>
            <w:top w:w="0" w:type="dxa"/>
            <w:left w:w="108" w:type="dxa"/>
            <w:bottom w:w="0" w:type="dxa"/>
            <w:right w:w="108" w:type="dxa"/>
          </w:tblCellMar>
        </w:tblPrEx>
        <w:trPr>
          <w:trHeight w:val="345" w:hRule="atLeast"/>
        </w:trPr>
        <w:tc>
          <w:tcPr>
            <w:tcW w:w="1526" w:type="dxa"/>
            <w:tcBorders>
              <w:top w:val="nil"/>
              <w:left w:val="single" w:color="auto" w:sz="4" w:space="0"/>
              <w:bottom w:val="single" w:color="auto" w:sz="4" w:space="0"/>
              <w:right w:val="single" w:color="auto" w:sz="4" w:space="0"/>
            </w:tcBorders>
            <w:vAlign w:val="center"/>
          </w:tcPr>
          <w:p w14:paraId="5EC65C2C">
            <w:pPr>
              <w:widowControl/>
              <w:adjustRightInd w:val="0"/>
              <w:snapToGrid w:val="0"/>
              <w:spacing w:line="276" w:lineRule="auto"/>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w:t>税    号</w:t>
            </w:r>
          </w:p>
        </w:tc>
        <w:tc>
          <w:tcPr>
            <w:tcW w:w="6997" w:type="dxa"/>
            <w:tcBorders>
              <w:top w:val="nil"/>
              <w:left w:val="nil"/>
              <w:bottom w:val="single" w:color="auto" w:sz="4" w:space="0"/>
              <w:right w:val="single" w:color="auto" w:sz="4" w:space="0"/>
            </w:tcBorders>
            <w:vAlign w:val="center"/>
          </w:tcPr>
          <w:p w14:paraId="530AF290">
            <w:pPr>
              <w:widowControl/>
              <w:adjustRightInd w:val="0"/>
              <w:snapToGrid w:val="0"/>
              <w:spacing w:line="276" w:lineRule="auto"/>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w:t>　</w:t>
            </w:r>
          </w:p>
        </w:tc>
      </w:tr>
      <w:tr w14:paraId="2289A075">
        <w:tblPrEx>
          <w:tblCellMar>
            <w:top w:w="0" w:type="dxa"/>
            <w:left w:w="108" w:type="dxa"/>
            <w:bottom w:w="0" w:type="dxa"/>
            <w:right w:w="108" w:type="dxa"/>
          </w:tblCellMar>
        </w:tblPrEx>
        <w:trPr>
          <w:trHeight w:val="345" w:hRule="atLeast"/>
        </w:trPr>
        <w:tc>
          <w:tcPr>
            <w:tcW w:w="1526" w:type="dxa"/>
            <w:tcBorders>
              <w:top w:val="nil"/>
              <w:left w:val="single" w:color="auto" w:sz="4" w:space="0"/>
              <w:bottom w:val="single" w:color="auto" w:sz="4" w:space="0"/>
              <w:right w:val="single" w:color="auto" w:sz="4" w:space="0"/>
            </w:tcBorders>
            <w:vAlign w:val="center"/>
          </w:tcPr>
          <w:p w14:paraId="27A943A6">
            <w:pPr>
              <w:widowControl/>
              <w:adjustRightInd w:val="0"/>
              <w:snapToGrid w:val="0"/>
              <w:spacing w:line="276" w:lineRule="auto"/>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w:t>地址电话</w:t>
            </w:r>
          </w:p>
        </w:tc>
        <w:tc>
          <w:tcPr>
            <w:tcW w:w="6997" w:type="dxa"/>
            <w:tcBorders>
              <w:top w:val="nil"/>
              <w:left w:val="nil"/>
              <w:bottom w:val="single" w:color="auto" w:sz="4" w:space="0"/>
              <w:right w:val="single" w:color="auto" w:sz="4" w:space="0"/>
            </w:tcBorders>
            <w:vAlign w:val="center"/>
          </w:tcPr>
          <w:p w14:paraId="24533A4E">
            <w:pPr>
              <w:widowControl/>
              <w:adjustRightInd w:val="0"/>
              <w:snapToGrid w:val="0"/>
              <w:spacing w:line="276" w:lineRule="auto"/>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w:t>　</w:t>
            </w:r>
          </w:p>
        </w:tc>
      </w:tr>
      <w:tr w14:paraId="71756D79">
        <w:tblPrEx>
          <w:tblCellMar>
            <w:top w:w="0" w:type="dxa"/>
            <w:left w:w="108" w:type="dxa"/>
            <w:bottom w:w="0" w:type="dxa"/>
            <w:right w:w="108" w:type="dxa"/>
          </w:tblCellMar>
        </w:tblPrEx>
        <w:trPr>
          <w:trHeight w:val="345" w:hRule="atLeast"/>
        </w:trPr>
        <w:tc>
          <w:tcPr>
            <w:tcW w:w="1526" w:type="dxa"/>
            <w:tcBorders>
              <w:top w:val="nil"/>
              <w:left w:val="single" w:color="auto" w:sz="4" w:space="0"/>
              <w:bottom w:val="single" w:color="auto" w:sz="4" w:space="0"/>
              <w:right w:val="single" w:color="auto" w:sz="4" w:space="0"/>
            </w:tcBorders>
            <w:vAlign w:val="center"/>
          </w:tcPr>
          <w:p w14:paraId="5BF1460F">
            <w:pPr>
              <w:widowControl/>
              <w:adjustRightInd w:val="0"/>
              <w:snapToGrid w:val="0"/>
              <w:spacing w:line="276" w:lineRule="auto"/>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w:t>开 户 行</w:t>
            </w:r>
          </w:p>
        </w:tc>
        <w:tc>
          <w:tcPr>
            <w:tcW w:w="6997" w:type="dxa"/>
            <w:tcBorders>
              <w:top w:val="nil"/>
              <w:left w:val="nil"/>
              <w:bottom w:val="single" w:color="auto" w:sz="4" w:space="0"/>
              <w:right w:val="single" w:color="auto" w:sz="4" w:space="0"/>
            </w:tcBorders>
            <w:vAlign w:val="center"/>
          </w:tcPr>
          <w:p w14:paraId="4992907F">
            <w:pPr>
              <w:widowControl/>
              <w:adjustRightInd w:val="0"/>
              <w:snapToGrid w:val="0"/>
              <w:spacing w:line="276" w:lineRule="auto"/>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w:t>　</w:t>
            </w:r>
          </w:p>
        </w:tc>
      </w:tr>
      <w:tr w14:paraId="34EE9140">
        <w:tblPrEx>
          <w:tblCellMar>
            <w:top w:w="0" w:type="dxa"/>
            <w:left w:w="108" w:type="dxa"/>
            <w:bottom w:w="0" w:type="dxa"/>
            <w:right w:w="108" w:type="dxa"/>
          </w:tblCellMar>
        </w:tblPrEx>
        <w:trPr>
          <w:trHeight w:val="345" w:hRule="atLeast"/>
        </w:trPr>
        <w:tc>
          <w:tcPr>
            <w:tcW w:w="1526" w:type="dxa"/>
            <w:tcBorders>
              <w:top w:val="nil"/>
              <w:left w:val="single" w:color="auto" w:sz="4" w:space="0"/>
              <w:bottom w:val="single" w:color="auto" w:sz="4" w:space="0"/>
              <w:right w:val="single" w:color="auto" w:sz="4" w:space="0"/>
            </w:tcBorders>
            <w:vAlign w:val="center"/>
          </w:tcPr>
          <w:p w14:paraId="0D0CD9CB">
            <w:pPr>
              <w:widowControl/>
              <w:adjustRightInd w:val="0"/>
              <w:snapToGrid w:val="0"/>
              <w:spacing w:line="276" w:lineRule="auto"/>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w:t>银行账号</w:t>
            </w:r>
          </w:p>
        </w:tc>
        <w:tc>
          <w:tcPr>
            <w:tcW w:w="6997" w:type="dxa"/>
            <w:tcBorders>
              <w:top w:val="nil"/>
              <w:left w:val="nil"/>
              <w:bottom w:val="single" w:color="auto" w:sz="4" w:space="0"/>
              <w:right w:val="single" w:color="auto" w:sz="4" w:space="0"/>
            </w:tcBorders>
            <w:vAlign w:val="center"/>
          </w:tcPr>
          <w:p w14:paraId="244E7BC3">
            <w:pPr>
              <w:widowControl/>
              <w:adjustRightInd w:val="0"/>
              <w:snapToGrid w:val="0"/>
              <w:spacing w:line="276" w:lineRule="auto"/>
              <w:jc w:val="left"/>
              <w:rPr>
                <w:rFonts w:hint="eastAsia" w:ascii="仿宋" w:hAnsi="仿宋" w:eastAsia="仿宋" w:cs="仿宋"/>
                <w:color w:val="auto"/>
                <w:kern w:val="0"/>
                <w:highlight w:val="none"/>
              </w:rPr>
            </w:pPr>
            <w:r>
              <w:rPr>
                <w:rFonts w:hint="eastAsia" w:ascii="仿宋" w:hAnsi="仿宋" w:eastAsia="仿宋" w:cs="仿宋"/>
                <w:color w:val="auto"/>
                <w:kern w:val="0"/>
                <w:highlight w:val="none"/>
              </w:rPr>
              <w:t>　</w:t>
            </w:r>
          </w:p>
        </w:tc>
      </w:tr>
    </w:tbl>
    <w:p w14:paraId="2B153AEC">
      <w:pPr>
        <w:adjustRightInd w:val="0"/>
        <w:snapToGrid w:val="0"/>
        <w:spacing w:line="276" w:lineRule="auto"/>
        <w:ind w:firstLine="48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乙方由小规模纳税人变更为一般纳税人或开票信息有变，应及时书面通知甲方，若因乙方的原因导致通知延误，甲方不承担责任。</w:t>
      </w:r>
    </w:p>
    <w:p w14:paraId="1743AEDD">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szCs w:val="21"/>
          <w:highlight w:val="none"/>
        </w:rPr>
        <w:t>开具增值税专用发票的，</w:t>
      </w:r>
      <w:r>
        <w:rPr>
          <w:rFonts w:hint="eastAsia" w:ascii="仿宋" w:hAnsi="仿宋" w:eastAsia="仿宋" w:cs="仿宋"/>
          <w:color w:val="auto"/>
          <w:highlight w:val="none"/>
        </w:rPr>
        <w:t>由乙方直接转账支付给甲方</w:t>
      </w:r>
      <w:r>
        <w:rPr>
          <w:rFonts w:hint="eastAsia" w:ascii="仿宋" w:hAnsi="仿宋" w:eastAsia="仿宋" w:cs="仿宋"/>
          <w:color w:val="auto"/>
          <w:szCs w:val="21"/>
          <w:highlight w:val="none"/>
        </w:rPr>
        <w:t>，不得委托第三方代付款，否则甲方有权不予开具增值税专用发票。</w:t>
      </w:r>
    </w:p>
    <w:p w14:paraId="29538C6B">
      <w:pPr>
        <w:spacing w:line="240" w:lineRule="auto"/>
        <w:ind w:firstLine="477" w:firstLineChars="198"/>
        <w:rPr>
          <w:rFonts w:hint="eastAsia" w:ascii="仿宋" w:hAnsi="仿宋" w:eastAsia="仿宋" w:cs="仿宋"/>
          <w:b/>
          <w:bCs/>
          <w:color w:val="auto"/>
          <w:highlight w:val="none"/>
        </w:rPr>
      </w:pPr>
      <w:r>
        <w:rPr>
          <w:rFonts w:hint="eastAsia" w:ascii="仿宋" w:hAnsi="仿宋" w:eastAsia="仿宋" w:cs="仿宋"/>
          <w:b/>
          <w:bCs/>
          <w:color w:val="auto"/>
          <w:highlight w:val="none"/>
        </w:rPr>
        <w:t>第七条 租赁房屋交付</w:t>
      </w:r>
    </w:p>
    <w:p w14:paraId="55245B36">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1、租赁房屋实际交付日期以甲方发出的《交房通知书》载明日期为准；若乙方未按甲方发出的《交房通知书》载明的时间与甲方或甲方选定或委托的物业管理公司办理交接手续，亦视为已完成交房。若租赁期限届满后，乙方继续承租房屋的，不再重新交付。</w:t>
      </w:r>
    </w:p>
    <w:p w14:paraId="1471186A">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2、房屋交付时乙方应与甲方或物业管理公司办理交接手续，对房屋状况、配置的设备设施、水电表读数等进行确认，并附上《房屋交接单》由各方签章。交接当日未提交书面异议视为全部确认。</w:t>
      </w:r>
    </w:p>
    <w:p w14:paraId="66BA1357">
      <w:pPr>
        <w:spacing w:line="240" w:lineRule="auto"/>
        <w:ind w:firstLine="477" w:firstLineChars="198"/>
        <w:rPr>
          <w:rFonts w:hint="eastAsia" w:ascii="仿宋" w:hAnsi="仿宋" w:eastAsia="仿宋" w:cs="仿宋"/>
          <w:b/>
          <w:bCs/>
          <w:color w:val="auto"/>
          <w:highlight w:val="none"/>
        </w:rPr>
      </w:pPr>
      <w:r>
        <w:rPr>
          <w:rFonts w:hint="eastAsia" w:ascii="仿宋" w:hAnsi="仿宋" w:eastAsia="仿宋" w:cs="仿宋"/>
          <w:b/>
          <w:bCs/>
          <w:color w:val="auto"/>
          <w:highlight w:val="none"/>
        </w:rPr>
        <w:t>第八条 租赁房屋装修与使用</w:t>
      </w:r>
    </w:p>
    <w:p w14:paraId="3D238F3B">
      <w:pPr>
        <w:adjustRightInd w:val="0"/>
        <w:snapToGrid w:val="0"/>
        <w:spacing w:line="276" w:lineRule="auto"/>
        <w:ind w:firstLine="475" w:firstLineChars="198"/>
        <w:rPr>
          <w:rFonts w:hint="eastAsia" w:ascii="仿宋" w:hAnsi="仿宋" w:eastAsia="仿宋" w:cs="仿宋"/>
          <w:color w:val="auto"/>
          <w:highlight w:val="none"/>
        </w:rPr>
      </w:pPr>
      <w:r>
        <w:rPr>
          <w:rFonts w:hint="eastAsia" w:ascii="仿宋" w:hAnsi="仿宋" w:eastAsia="仿宋" w:cs="仿宋"/>
          <w:bCs/>
          <w:color w:val="auto"/>
          <w:highlight w:val="none"/>
        </w:rPr>
        <w:t>1、</w:t>
      </w:r>
      <w:r>
        <w:rPr>
          <w:rFonts w:hint="eastAsia" w:ascii="仿宋" w:hAnsi="仿宋" w:eastAsia="仿宋" w:cs="仿宋"/>
          <w:color w:val="auto"/>
          <w:highlight w:val="none"/>
        </w:rPr>
        <w:t>乙方不得擅自变动租赁房屋建筑主体和承重结构，若乙方在租赁期间进行必要的室内装修改造，须自行承担装修改造的全部费用及施工安全责任，并对其自行装修改造的部分承担全部维护责任。乙方应于施</w:t>
      </w:r>
      <w:r>
        <w:rPr>
          <w:rFonts w:hint="eastAsia" w:ascii="仿宋" w:hAnsi="仿宋" w:eastAsia="仿宋" w:cs="仿宋"/>
          <w:color w:val="auto"/>
          <w:highlight w:val="none"/>
        </w:rPr>
        <w:t>工前将装修施工图（含装修设计图、用料说明、门厅及LOGO图、空调系统平面图、消防系统图、室内电气配线系统平面图、天花板平面设计图、各立面图等）提交甲方书面审批同意。乙方装修方案应保证租赁房屋结构安全且符合有关消防、环</w:t>
      </w:r>
      <w:r>
        <w:rPr>
          <w:rFonts w:hint="eastAsia" w:ascii="仿宋" w:hAnsi="仿宋" w:eastAsia="仿宋" w:cs="仿宋"/>
          <w:color w:val="auto"/>
          <w:highlight w:val="none"/>
        </w:rPr>
        <w:t>保、抗震等规定，并须按有关法律法规、政策规定自行办理相关审批手续，经批准后方能施工；</w:t>
      </w:r>
      <w:r>
        <w:rPr>
          <w:rFonts w:hint="eastAsia" w:ascii="仿宋" w:hAnsi="仿宋" w:eastAsia="仿宋" w:cs="仿宋"/>
          <w:color w:val="auto"/>
          <w:kern w:val="0"/>
          <w:highlight w:val="none"/>
        </w:rPr>
        <w:t>若乙方在施工过程中确需对设计方案进行更改的，应再次经过甲方书面审批同意及相关部门审核通过后，方可实施；</w:t>
      </w:r>
      <w:r>
        <w:rPr>
          <w:rFonts w:hint="eastAsia" w:ascii="仿宋" w:hAnsi="仿宋" w:eastAsia="仿宋" w:cs="仿宋"/>
          <w:color w:val="auto"/>
          <w:highlight w:val="none"/>
        </w:rPr>
        <w:t>装修竣工后应在五个工作日内向相关部门报备并通过相关部门的验收（如消防验收等）。装修改造工程竣工验收后的档案资料（含竣工图）应于装修竣工后5日内报甲方备案。</w:t>
      </w:r>
    </w:p>
    <w:p w14:paraId="2F509D64">
      <w:pPr>
        <w:adjustRightInd w:val="0"/>
        <w:snapToGrid w:val="0"/>
        <w:spacing w:line="276" w:lineRule="auto"/>
        <w:ind w:firstLine="241"/>
        <w:rPr>
          <w:rFonts w:hint="eastAsia" w:ascii="仿宋" w:hAnsi="仿宋" w:eastAsia="仿宋" w:cs="仿宋"/>
          <w:color w:val="auto"/>
          <w:highlight w:val="none"/>
        </w:rPr>
      </w:pPr>
      <w:r>
        <w:rPr>
          <w:rFonts w:hint="eastAsia" w:ascii="仿宋" w:hAnsi="仿宋" w:eastAsia="仿宋" w:cs="仿宋"/>
          <w:bCs/>
          <w:color w:val="auto"/>
          <w:highlight w:val="none"/>
        </w:rPr>
        <w:t xml:space="preserve">  2、</w:t>
      </w:r>
      <w:r>
        <w:rPr>
          <w:rFonts w:hint="eastAsia" w:ascii="仿宋" w:hAnsi="仿宋" w:eastAsia="仿宋" w:cs="仿宋"/>
          <w:color w:val="auto"/>
          <w:highlight w:val="none"/>
        </w:rPr>
        <w:t>乙方应委托具有资质的装饰装修单位和消防施工单位对租赁房屋进行施工。乙方装饰装修过程中涉及电焊、气焊、电工等特殊工种作业的，应由持有相关上岗资格证书的人员进行作业。</w:t>
      </w:r>
    </w:p>
    <w:p w14:paraId="361BCB28">
      <w:pPr>
        <w:spacing w:line="240" w:lineRule="auto"/>
        <w:ind w:firstLine="475" w:firstLineChars="198"/>
        <w:rPr>
          <w:rFonts w:hint="eastAsia" w:ascii="仿宋" w:hAnsi="仿宋" w:eastAsia="仿宋" w:cs="仿宋"/>
          <w:color w:val="auto"/>
          <w:highlight w:val="none"/>
        </w:rPr>
      </w:pPr>
      <w:r>
        <w:rPr>
          <w:rFonts w:hint="eastAsia" w:ascii="仿宋" w:hAnsi="仿宋" w:eastAsia="仿宋" w:cs="仿宋"/>
          <w:color w:val="auto"/>
          <w:highlight w:val="none"/>
        </w:rPr>
        <w:t>3、乙方不得自行向第三方转供或引入电源，未经甲方同意不得改变租赁房屋标配开关及线路容量。</w:t>
      </w:r>
    </w:p>
    <w:p w14:paraId="083AF3E5">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4、因乙方改造、装修和使用租赁房屋及其附属设备设施造成人身损害或财产损失的，由乙方承担一切民事法律责任；若因此连带给甲方造成损失的，乙方应予以赔偿。为避免上述情况发生，乙方可购买保险，保险费用由乙方承担。</w:t>
      </w:r>
    </w:p>
    <w:p w14:paraId="17B9E706">
      <w:pPr>
        <w:spacing w:line="240" w:lineRule="auto"/>
        <w:ind w:firstLine="475" w:firstLineChars="198"/>
        <w:rPr>
          <w:rFonts w:hint="eastAsia" w:ascii="仿宋" w:hAnsi="仿宋" w:eastAsia="仿宋" w:cs="仿宋"/>
          <w:color w:val="auto"/>
          <w:highlight w:val="none"/>
        </w:rPr>
      </w:pPr>
      <w:r>
        <w:rPr>
          <w:rFonts w:hint="eastAsia" w:ascii="仿宋" w:hAnsi="仿宋" w:eastAsia="仿宋" w:cs="仿宋"/>
          <w:color w:val="auto"/>
          <w:highlight w:val="none"/>
        </w:rPr>
        <w:t>5、租赁期间，乙方应当爱护并合理使用租赁房屋及其附属设备设施，不得擅自拆改、扩建、增添等。乙方应定期检查房屋，发现问题应立即通知甲方或</w:t>
      </w:r>
      <w:r>
        <w:rPr>
          <w:rFonts w:hint="eastAsia" w:ascii="仿宋" w:hAnsi="仿宋" w:eastAsia="仿宋" w:cs="仿宋"/>
          <w:color w:val="auto"/>
          <w:kern w:val="0"/>
          <w:highlight w:val="none"/>
        </w:rPr>
        <w:t>物业管理公司进行维修。</w:t>
      </w:r>
      <w:r>
        <w:rPr>
          <w:rFonts w:hint="eastAsia" w:ascii="仿宋" w:hAnsi="仿宋" w:eastAsia="仿宋" w:cs="仿宋"/>
          <w:color w:val="auto"/>
          <w:highlight w:val="none"/>
        </w:rPr>
        <w:t>乙方对租赁房屋经乙方装修或改造的部分及因乙方使用不当对租赁房屋造成的损坏负有修缮义务，承担相应责任。由于出租房屋本身的质量问题引起的维护和维修由甲方负责并承担相关费用和责任。房屋老化或因天灾等不可抗力的因素产生的损坏，乙方应该及时书面通知甲方后由甲方负责修缮，如因乙方未及时通知造成房屋损害或人身损害、财产损失的，由乙方承担一切责任。</w:t>
      </w:r>
    </w:p>
    <w:p w14:paraId="4F75A44A">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6、乙方租用甲方房屋应遵守政府所颁布的各项法律、法规。乙方在租赁期内若发生违反政府法律、法规的行为应自行承担相应的责任，并应承担因此给甲方造成的经济、名誉等损失的赔偿责任。</w:t>
      </w:r>
    </w:p>
    <w:p w14:paraId="791E385E">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7、</w:t>
      </w:r>
      <w:r>
        <w:rPr>
          <w:rFonts w:hint="eastAsia" w:ascii="仿宋" w:hAnsi="仿宋" w:eastAsia="仿宋" w:cs="仿宋"/>
          <w:b/>
          <w:bCs/>
          <w:color w:val="auto"/>
          <w:highlight w:val="none"/>
        </w:rPr>
        <w:t>租赁期间，若发生任何人员伤害、财产损失情况，乙方承担一切相关处理责任，概与甲方无关；因自然灾害或房屋结构等不可抗力原因造成人员伤亡、财产损失也与甲方无关。</w:t>
      </w:r>
      <w:r>
        <w:rPr>
          <w:rFonts w:hint="eastAsia" w:ascii="仿宋" w:hAnsi="仿宋" w:eastAsia="仿宋" w:cs="仿宋"/>
          <w:color w:val="auto"/>
          <w:highlight w:val="none"/>
        </w:rPr>
        <w:t>为避免上述情况发生，乙方可购买保险，保险费用由乙方承担。</w:t>
      </w:r>
    </w:p>
    <w:p w14:paraId="00A18C81">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8、租赁期间，涉及消防、工商、卫生、广告、城市综合管理等内容，乙方应执行本合同项下房屋所在地有关部门的规定并接受甲方监督管理。</w:t>
      </w:r>
    </w:p>
    <w:p w14:paraId="39EC6031">
      <w:pPr>
        <w:adjustRightInd w:val="0"/>
        <w:snapToGrid w:val="0"/>
        <w:spacing w:line="276" w:lineRule="auto"/>
        <w:ind w:firstLine="475" w:firstLineChars="198"/>
        <w:rPr>
          <w:rFonts w:hint="eastAsia" w:ascii="仿宋" w:hAnsi="仿宋" w:eastAsia="仿宋" w:cs="仿宋"/>
          <w:color w:val="auto"/>
          <w:highlight w:val="none"/>
        </w:rPr>
      </w:pPr>
      <w:r>
        <w:rPr>
          <w:rFonts w:hint="eastAsia" w:ascii="仿宋" w:hAnsi="仿宋" w:eastAsia="仿宋" w:cs="仿宋"/>
          <w:color w:val="auto"/>
          <w:highlight w:val="none"/>
        </w:rPr>
        <w:t>9、乙方应妥善处理相邻关系，否则，由此产生的责任由乙方自行承担，甲方不承担任何责任。若因此造成甲方损失，乙方应予以赔偿。</w:t>
      </w:r>
    </w:p>
    <w:p w14:paraId="3BD5C55B">
      <w:pPr>
        <w:spacing w:line="240" w:lineRule="auto"/>
        <w:ind w:firstLine="477" w:firstLineChars="198"/>
        <w:rPr>
          <w:rFonts w:hint="eastAsia" w:ascii="仿宋" w:hAnsi="仿宋" w:eastAsia="仿宋" w:cs="仿宋"/>
          <w:b/>
          <w:bCs/>
          <w:color w:val="auto"/>
          <w:highlight w:val="none"/>
        </w:rPr>
      </w:pPr>
      <w:r>
        <w:rPr>
          <w:rFonts w:hint="eastAsia" w:ascii="仿宋" w:hAnsi="仿宋" w:eastAsia="仿宋" w:cs="仿宋"/>
          <w:b/>
          <w:bCs/>
          <w:color w:val="auto"/>
          <w:highlight w:val="none"/>
        </w:rPr>
        <w:t>第九条 退房及财产处置</w:t>
      </w:r>
    </w:p>
    <w:p w14:paraId="1D1B1D98">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1、本合同到期日前或提前解除、终止后</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日内，乙方应保证房屋结构安全及附属设备设施能正常使用，按照甲方的要求返还承租房屋及交房时签署的《房屋交接单》所列租赁物，并搬走属于乙方的物品，</w:t>
      </w:r>
      <w:r>
        <w:rPr>
          <w:rFonts w:hint="eastAsia" w:ascii="仿宋" w:hAnsi="仿宋" w:eastAsia="仿宋" w:cs="仿宋"/>
          <w:color w:val="auto"/>
          <w:highlight w:val="none"/>
          <w:lang w:bidi="ar"/>
        </w:rPr>
        <w:t>并与甲方签署退房的《房屋交接单》，方可视为乙方退房完毕</w:t>
      </w:r>
      <w:r>
        <w:rPr>
          <w:rFonts w:hint="eastAsia" w:ascii="仿宋" w:hAnsi="仿宋" w:eastAsia="仿宋" w:cs="仿宋"/>
          <w:color w:val="auto"/>
          <w:highlight w:val="none"/>
        </w:rPr>
        <w:t>。同时，乙方应在合同解除终止日前向有关部门办理完毕登记在租赁房屋项下的工商、税务等住所登记或经营场所备案等迁移或撤销手续。</w:t>
      </w:r>
    </w:p>
    <w:p w14:paraId="111209B9">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1）乙方对租赁房屋进行改造、装修的，属于租赁房屋附合的装饰装修物（包括但不限于重新铺设地板砖、重新吊装天花板、墙（柱）体贴瓷砖、墙面粉刷或油漆、重新安装门窗、电梯、楼梯、灯具灯饰等）乙方不得拆除，无偿归甲方所有，且乙方不得要求任何补偿（甲方书面同意乙方拆除或甲方违约解除合同的除外）。</w:t>
      </w:r>
    </w:p>
    <w:p w14:paraId="7C28DB92">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未形成附合的装饰装修物（如重新安装空调、热水器等）可由乙方在甲方要求的期限内自行拆除、搬走，费用由乙方自理；若拆除后会影响租赁房屋结构安全的，乙方不得拆除。若乙方在拆除过程中给租赁房屋造成损坏的，乙方应负责恢复原状或赔偿损失。</w:t>
      </w:r>
    </w:p>
    <w:p w14:paraId="472FAADE">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2）乙方在事先征得甲方书面同意，并按有关法律法规、政策规定办妥相关批准手续后，对租赁房屋原有附属设备设施进行改造、增扩、添附的,所有费用由乙方承担。拆除的原有附属设备设施由乙方负责处理，处理原有设备设施所得款项亦归乙方；本合同期满或乙方违约提前解除、终止合同时，该新改扩、增添的附属设备设施乙方不得拆除，无偿归甲方所有，且乙方不得要求任何补偿。</w:t>
      </w:r>
    </w:p>
    <w:p w14:paraId="5800000B">
      <w:pPr>
        <w:tabs>
          <w:tab w:val="left" w:pos="1620"/>
        </w:tabs>
        <w:adjustRightInd w:val="0"/>
        <w:snapToGrid w:val="0"/>
        <w:spacing w:line="276" w:lineRule="auto"/>
        <w:ind w:firstLine="482" w:firstLineChars="200"/>
        <w:jc w:val="left"/>
        <w:rPr>
          <w:rFonts w:hint="eastAsia" w:ascii="仿宋" w:hAnsi="仿宋" w:eastAsia="仿宋" w:cs="仿宋"/>
          <w:b/>
          <w:bCs/>
          <w:color w:val="auto"/>
          <w:highlight w:val="none"/>
        </w:rPr>
      </w:pPr>
      <w:r>
        <w:rPr>
          <w:rFonts w:hint="eastAsia" w:ascii="仿宋" w:hAnsi="仿宋" w:eastAsia="仿宋" w:cs="仿宋"/>
          <w:b/>
          <w:bCs/>
          <w:color w:val="auto"/>
          <w:highlight w:val="none"/>
        </w:rPr>
        <w:t>2、本合同期满或提前解除、终止后，乙方未在本合同项下约定时间内按甲方的要求返还租赁房屋及其他租赁物或仍未拆除、搬走合同约定可由乙方拆除的装饰装修物、改扩、增添的附属设备设施及其他属于乙方之物品的，视为乙方不履行合同义务并已放弃其财产所有权，甲方有权在公证员或甲方指定或委托的物业服务公司或属地社区居委会或属地公安民警等第三方人员现场见证下，单方进入租赁房屋，自行收回租赁房屋及其他租赁物。</w:t>
      </w:r>
    </w:p>
    <w:p w14:paraId="3F5AFF96">
      <w:pPr>
        <w:tabs>
          <w:tab w:val="left" w:pos="1620"/>
        </w:tabs>
        <w:adjustRightInd w:val="0"/>
        <w:snapToGrid w:val="0"/>
        <w:spacing w:line="276" w:lineRule="auto"/>
        <w:ind w:firstLine="482" w:firstLineChars="200"/>
        <w:jc w:val="left"/>
        <w:rPr>
          <w:rFonts w:hint="eastAsia" w:ascii="仿宋" w:hAnsi="仿宋" w:eastAsia="仿宋" w:cs="仿宋"/>
          <w:b/>
          <w:bCs/>
          <w:color w:val="auto"/>
          <w:highlight w:val="none"/>
        </w:rPr>
      </w:pPr>
      <w:r>
        <w:rPr>
          <w:rFonts w:hint="eastAsia" w:ascii="仿宋" w:hAnsi="仿宋" w:eastAsia="仿宋" w:cs="仿宋"/>
          <w:b/>
          <w:bCs/>
          <w:color w:val="auto"/>
          <w:highlight w:val="none"/>
        </w:rPr>
        <w:t>并且，乙方的装饰装修物、改扩、增添的附属设备设施及其他属于乙方之物品将视为遗弃物将无偿归甲方所有，甲方有权以封存、变卖、丢弃等任何方式自行处理、处置，所产生的处理、处置费用由乙方承担，乙方对此不得有任何异议，不得向甲方要求任何补偿或主张任何其他费用。</w:t>
      </w:r>
    </w:p>
    <w:p w14:paraId="3CC531D5">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3、若乙方移交的租赁房屋及其附属设备设施有毁损或灭失的，乙方应负责恢复原状或赔偿损失。</w:t>
      </w:r>
    </w:p>
    <w:p w14:paraId="7CDC9514">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4、</w:t>
      </w:r>
      <w:r>
        <w:rPr>
          <w:rFonts w:hint="eastAsia" w:ascii="仿宋" w:hAnsi="仿宋" w:eastAsia="仿宋" w:cs="仿宋"/>
          <w:b/>
          <w:color w:val="auto"/>
          <w:highlight w:val="none"/>
        </w:rPr>
        <w:t>对于房屋租赁发生的装修费用甲方一概不予补偿，因此，乙方应事先判断对租赁物改造、装修的可行性和必要性，认真考虑装修的投入，避免造成不必要的损失。</w:t>
      </w:r>
    </w:p>
    <w:p w14:paraId="2AC4984E">
      <w:pPr>
        <w:spacing w:line="240" w:lineRule="auto"/>
        <w:ind w:firstLine="477" w:firstLineChars="198"/>
        <w:rPr>
          <w:rFonts w:hint="eastAsia" w:ascii="仿宋" w:hAnsi="仿宋" w:eastAsia="仿宋" w:cs="仿宋"/>
          <w:b/>
          <w:bCs/>
          <w:color w:val="auto"/>
          <w:highlight w:val="none"/>
        </w:rPr>
      </w:pPr>
      <w:r>
        <w:rPr>
          <w:rFonts w:hint="eastAsia" w:ascii="仿宋" w:hAnsi="仿宋" w:eastAsia="仿宋" w:cs="仿宋"/>
          <w:b/>
          <w:bCs/>
          <w:color w:val="auto"/>
          <w:highlight w:val="none"/>
        </w:rPr>
        <w:t>第十条 合同的变更、解除与终止</w:t>
      </w:r>
    </w:p>
    <w:p w14:paraId="257276CE">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1、有下列情形之一的，甲乙双方可以变更或者终止合同：</w:t>
      </w:r>
    </w:p>
    <w:p w14:paraId="7B3354F5">
      <w:pPr>
        <w:adjustRightInd w:val="0"/>
        <w:snapToGrid w:val="0"/>
        <w:spacing w:line="276" w:lineRule="auto"/>
        <w:ind w:firstLine="564" w:firstLineChars="235"/>
        <w:rPr>
          <w:rFonts w:hint="eastAsia" w:ascii="仿宋" w:hAnsi="仿宋" w:eastAsia="仿宋" w:cs="仿宋"/>
          <w:color w:val="auto"/>
          <w:highlight w:val="none"/>
        </w:rPr>
      </w:pPr>
      <w:r>
        <w:rPr>
          <w:rFonts w:hint="eastAsia" w:ascii="仿宋" w:hAnsi="仿宋" w:eastAsia="仿宋" w:cs="仿宋"/>
          <w:color w:val="auto"/>
          <w:highlight w:val="none"/>
        </w:rPr>
        <w:t>（1）甲乙双方协商一致；</w:t>
      </w:r>
    </w:p>
    <w:p w14:paraId="5CA45A9A">
      <w:pPr>
        <w:adjustRightInd w:val="0"/>
        <w:snapToGrid w:val="0"/>
        <w:spacing w:line="276" w:lineRule="auto"/>
        <w:ind w:firstLine="564" w:firstLineChars="235"/>
        <w:rPr>
          <w:rFonts w:hint="eastAsia" w:ascii="仿宋" w:hAnsi="仿宋" w:eastAsia="仿宋" w:cs="仿宋"/>
          <w:color w:val="auto"/>
          <w:highlight w:val="none"/>
        </w:rPr>
      </w:pPr>
      <w:r>
        <w:rPr>
          <w:rFonts w:hint="eastAsia" w:ascii="仿宋" w:hAnsi="仿宋" w:eastAsia="仿宋" w:cs="仿宋"/>
          <w:color w:val="auto"/>
          <w:highlight w:val="none"/>
        </w:rPr>
        <w:t>（2）本合同</w:t>
      </w:r>
      <w:r>
        <w:rPr>
          <w:rFonts w:hint="eastAsia" w:ascii="仿宋" w:hAnsi="仿宋" w:eastAsia="仿宋" w:cs="仿宋"/>
          <w:color w:val="auto"/>
          <w:highlight w:val="none"/>
        </w:rPr>
        <w:t>第十二条</w:t>
      </w:r>
      <w:r>
        <w:rPr>
          <w:rFonts w:hint="eastAsia" w:ascii="仿宋" w:hAnsi="仿宋" w:eastAsia="仿宋" w:cs="仿宋"/>
          <w:color w:val="auto"/>
          <w:highlight w:val="none"/>
        </w:rPr>
        <w:t>约定的不可抗力情形；</w:t>
      </w:r>
    </w:p>
    <w:p w14:paraId="716DD092">
      <w:pPr>
        <w:adjustRightInd w:val="0"/>
        <w:snapToGrid w:val="0"/>
        <w:spacing w:line="276" w:lineRule="auto"/>
        <w:ind w:firstLine="564" w:firstLineChars="235"/>
        <w:rPr>
          <w:rFonts w:hint="eastAsia" w:ascii="仿宋" w:hAnsi="仿宋" w:eastAsia="仿宋" w:cs="仿宋"/>
          <w:color w:val="auto"/>
          <w:highlight w:val="none"/>
        </w:rPr>
      </w:pPr>
      <w:r>
        <w:rPr>
          <w:rFonts w:hint="eastAsia" w:ascii="仿宋" w:hAnsi="仿宋" w:eastAsia="仿宋" w:cs="仿宋"/>
          <w:color w:val="auto"/>
          <w:highlight w:val="none"/>
        </w:rPr>
        <w:t>（3）法律规定的其他情形。</w:t>
      </w:r>
    </w:p>
    <w:p w14:paraId="2C023FC5">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2、甲方有以下行为之一的，乙方有权解除合同：</w:t>
      </w:r>
    </w:p>
    <w:p w14:paraId="3554CD6E">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（1）甲方未尽应由甲方承担的房屋修缮义务，严重影响乙方使用的；</w:t>
      </w:r>
    </w:p>
    <w:p w14:paraId="2CDD4367">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（2）依法律规定，其他构成根本违约情形。</w:t>
      </w:r>
    </w:p>
    <w:p w14:paraId="7BDCC002">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3、乙方有下列行为之一的，甲方有权单方解除合同，并收回租赁房屋，对乙方的装修费用不予补偿，乙方还应承担违约责任。甲方也可选择继续履行合同，但甲方仍有权要求乙方及时改正并赔偿损失：</w:t>
      </w:r>
    </w:p>
    <w:p w14:paraId="668E5FC1">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（1）未经甲方书面同意，变更租赁房屋用途的；</w:t>
      </w:r>
    </w:p>
    <w:p w14:paraId="545BC79D">
      <w:pPr>
        <w:spacing w:line="240"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（2）未经甲方书面同意，将租赁房屋全部或部分转让、转租、转借、抵押，或以合作经营、提供给他人作为经营许可注册地址等方式变相转租；</w:t>
      </w:r>
    </w:p>
    <w:p w14:paraId="3BF2EA96">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（3）利用租赁房屋存放危险物品或利用租赁房屋进行不合法的经营及各种违法活动的；</w:t>
      </w:r>
    </w:p>
    <w:p w14:paraId="50691C01">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（4）未经甲方书面同意和有关部门批准，变动或破坏租赁房屋主体结构或擅自进行装修、改动房屋内部结构的；</w:t>
      </w:r>
    </w:p>
    <w:p w14:paraId="6A22614A">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（5）拖欠租金、物业管理费、房屋公共维修金、水电费或其他费用超过30日的；</w:t>
      </w:r>
    </w:p>
    <w:p w14:paraId="094866DE">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（6）影响租赁场所或其他租户正常营业，侵害商户的权益，或发生其他严重违反物业管理制度行为且未在甲方或物业管理公司通知整改限期内予以纠正；</w:t>
      </w:r>
    </w:p>
    <w:p w14:paraId="43C45066">
      <w:pPr>
        <w:adjustRightInd w:val="0"/>
        <w:snapToGrid w:val="0"/>
        <w:spacing w:line="276" w:lineRule="auto"/>
        <w:ind w:firstLine="480" w:firstLineChars="200"/>
        <w:rPr>
          <w:rFonts w:hint="eastAsia" w:ascii="仿宋" w:hAnsi="仿宋" w:eastAsia="仿宋" w:cs="仿宋"/>
          <w:color w:val="auto"/>
          <w:kern w:val="0"/>
          <w:highlight w:val="none"/>
        </w:rPr>
      </w:pPr>
      <w:r>
        <w:rPr>
          <w:rFonts w:hint="eastAsia" w:ascii="仿宋" w:hAnsi="仿宋" w:eastAsia="仿宋" w:cs="仿宋"/>
          <w:color w:val="auto"/>
          <w:highlight w:val="none"/>
        </w:rPr>
        <w:t>（7）</w:t>
      </w:r>
      <w:r>
        <w:rPr>
          <w:rFonts w:hint="eastAsia" w:ascii="仿宋" w:hAnsi="仿宋" w:eastAsia="仿宋" w:cs="仿宋"/>
          <w:color w:val="auto"/>
          <w:kern w:val="0"/>
          <w:highlight w:val="none"/>
        </w:rPr>
        <w:t>在本合同规定的租赁期限内，乙方发生破产、歇业、被解散、被清算,因严重违法违纪被司法、行政机关处罚</w:t>
      </w:r>
      <w:r>
        <w:rPr>
          <w:rFonts w:hint="eastAsia" w:ascii="仿宋" w:hAnsi="仿宋" w:eastAsia="仿宋" w:cs="仿宋"/>
          <w:color w:val="auto"/>
          <w:highlight w:val="none"/>
        </w:rPr>
        <w:t>且未在规定的整改期限内整改完成的</w:t>
      </w:r>
      <w:r>
        <w:rPr>
          <w:rFonts w:hint="eastAsia" w:ascii="仿宋" w:hAnsi="仿宋" w:eastAsia="仿宋" w:cs="仿宋"/>
          <w:color w:val="auto"/>
          <w:kern w:val="0"/>
          <w:highlight w:val="none"/>
        </w:rPr>
        <w:t>或租赁场所被司法机关查封的;</w:t>
      </w:r>
    </w:p>
    <w:p w14:paraId="508733DF">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kern w:val="0"/>
          <w:highlight w:val="none"/>
        </w:rPr>
        <w:t>（8）</w:t>
      </w:r>
      <w:r>
        <w:rPr>
          <w:rFonts w:hint="eastAsia" w:ascii="仿宋" w:hAnsi="仿宋" w:eastAsia="仿宋" w:cs="仿宋"/>
          <w:color w:val="auto"/>
          <w:highlight w:val="none"/>
        </w:rPr>
        <w:t>租赁房屋用途为非住宅的，存在人员生活居住情况的；</w:t>
      </w:r>
    </w:p>
    <w:p w14:paraId="691C81DD">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（9）依法律规定或合同约定，其他构成根本违约的情形。</w:t>
      </w:r>
    </w:p>
    <w:p w14:paraId="649A08CD">
      <w:pPr>
        <w:adjustRightInd w:val="0"/>
        <w:snapToGrid w:val="0"/>
        <w:spacing w:line="276" w:lineRule="auto"/>
        <w:ind w:firstLine="482" w:firstLineChars="200"/>
        <w:rPr>
          <w:rFonts w:hint="eastAsia" w:ascii="仿宋" w:hAnsi="仿宋" w:eastAsia="仿宋" w:cs="仿宋"/>
          <w:b/>
          <w:bCs/>
          <w:color w:val="auto"/>
          <w:highlight w:val="none"/>
        </w:rPr>
      </w:pPr>
      <w:r>
        <w:rPr>
          <w:rFonts w:hint="eastAsia" w:ascii="仿宋" w:hAnsi="仿宋" w:eastAsia="仿宋" w:cs="仿宋"/>
          <w:b/>
          <w:bCs/>
          <w:color w:val="auto"/>
          <w:highlight w:val="none"/>
        </w:rPr>
        <w:t>4、租赁期间，如果租赁房屋经甲方委托的有资质的第三方房屋安全鉴定机构鉴定确认该房屋整体或房屋某部分不符合国家现行标准的安全性要求的，本合同自甲方发出终止合同通知书之日即终止 。甲方有权在本合同终止后收回房屋，乙方必须在通知要求时间内搬离租赁房屋，双方互不承担违约责任。</w:t>
      </w:r>
    </w:p>
    <w:p w14:paraId="2F57A836">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5、租赁期间，如租赁房屋发生安全事故的，经有关部门鉴定确认事故发生在乙方负责维修维护、管理的部位和范围，则甲方有权解除本合同，收回房屋；同时乙方须承担相应的法律责任，并负责将房屋修复至交房时的状态或赔偿房屋修复的费用。</w:t>
      </w:r>
    </w:p>
    <w:p w14:paraId="58B4FC6E">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6、</w:t>
      </w:r>
      <w:r>
        <w:rPr>
          <w:rFonts w:hint="eastAsia" w:ascii="仿宋" w:hAnsi="仿宋" w:eastAsia="仿宋" w:cs="仿宋"/>
          <w:color w:val="auto"/>
          <w:highlight w:val="none"/>
          <w:lang w:bidi="ar"/>
        </w:rPr>
        <w:t>乙方为自然人的，</w:t>
      </w:r>
      <w:r>
        <w:rPr>
          <w:rFonts w:hint="eastAsia" w:ascii="仿宋" w:hAnsi="仿宋" w:eastAsia="仿宋" w:cs="仿宋"/>
          <w:color w:val="auto"/>
          <w:highlight w:val="none"/>
        </w:rPr>
        <w:t>应于合同签订后三个月内，在租赁房屋注册一家以乙方为控股股东的公司或以乙方为经营者的个体工商户，乙方应与甲方签订变更承租人的补充协议，同时乙方应为新注册的公司或个体工商户提供担保。否则，甲方有权解除本合同，并收回房屋。</w:t>
      </w:r>
      <w:r>
        <w:rPr>
          <w:rFonts w:hint="eastAsia" w:ascii="仿宋" w:hAnsi="仿宋" w:eastAsia="仿宋" w:cs="仿宋"/>
          <w:color w:val="auto"/>
          <w:highlight w:val="none"/>
        </w:rPr>
        <w:t>（选择性条款）</w:t>
      </w:r>
    </w:p>
    <w:p w14:paraId="7A72D883">
      <w:pPr>
        <w:spacing w:line="240" w:lineRule="auto"/>
        <w:ind w:firstLine="477" w:firstLineChars="198"/>
        <w:rPr>
          <w:rFonts w:hint="eastAsia" w:ascii="仿宋" w:hAnsi="仿宋" w:eastAsia="仿宋" w:cs="仿宋"/>
          <w:b/>
          <w:bCs/>
          <w:color w:val="auto"/>
          <w:highlight w:val="none"/>
        </w:rPr>
      </w:pPr>
      <w:r>
        <w:rPr>
          <w:rFonts w:hint="eastAsia" w:ascii="仿宋" w:hAnsi="仿宋" w:eastAsia="仿宋" w:cs="仿宋"/>
          <w:b/>
          <w:bCs/>
          <w:color w:val="auto"/>
          <w:highlight w:val="none"/>
        </w:rPr>
        <w:t>第十一条 违约责任</w:t>
      </w:r>
    </w:p>
    <w:p w14:paraId="3315B6E4">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1、租赁期内，乙方如逾期交纳租金及各项费用，</w:t>
      </w:r>
      <w:r>
        <w:rPr>
          <w:rFonts w:hint="eastAsia" w:ascii="仿宋" w:hAnsi="仿宋" w:eastAsia="仿宋" w:cs="仿宋"/>
          <w:color w:val="auto"/>
          <w:kern w:val="0"/>
          <w:highlight w:val="none"/>
        </w:rPr>
        <w:t>自逾期缴纳该费用的次月第一日起，</w:t>
      </w:r>
      <w:r>
        <w:rPr>
          <w:rFonts w:hint="eastAsia" w:ascii="仿宋" w:hAnsi="仿宋" w:eastAsia="仿宋" w:cs="仿宋"/>
          <w:color w:val="auto"/>
          <w:highlight w:val="none"/>
        </w:rPr>
        <w:t>每逾期一日，须按未交纳租金及各项费用的</w:t>
      </w:r>
      <w:r>
        <w:rPr>
          <w:rFonts w:hint="eastAsia" w:ascii="仿宋" w:hAnsi="仿宋" w:eastAsia="仿宋" w:cs="仿宋"/>
          <w:color w:val="auto"/>
          <w:highlight w:val="none"/>
          <w:lang w:bidi="ar"/>
        </w:rPr>
        <w:t>万分之五</w:t>
      </w:r>
      <w:r>
        <w:rPr>
          <w:rFonts w:hint="eastAsia" w:ascii="仿宋" w:hAnsi="仿宋" w:eastAsia="仿宋" w:cs="仿宋"/>
          <w:color w:val="auto"/>
          <w:highlight w:val="none"/>
        </w:rPr>
        <w:t>向甲方支付违约金。</w:t>
      </w:r>
    </w:p>
    <w:p w14:paraId="3C09661D">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2、租赁期内，若由甲方代缴各项费用，乙方逾期向甲方交纳的，除补足各项费用和按有关部门规定缴交相应的违约金外，还应每逾期一日向甲方支付未付各项费用及其违约金总和</w:t>
      </w:r>
      <w:r>
        <w:rPr>
          <w:rFonts w:hint="eastAsia" w:ascii="仿宋" w:hAnsi="仿宋" w:eastAsia="仿宋" w:cs="仿宋"/>
          <w:color w:val="auto"/>
          <w:highlight w:val="none"/>
          <w:lang w:bidi="ar"/>
        </w:rPr>
        <w:t>万分之五</w:t>
      </w:r>
      <w:r>
        <w:rPr>
          <w:rFonts w:hint="eastAsia" w:ascii="仿宋" w:hAnsi="仿宋" w:eastAsia="仿宋" w:cs="仿宋"/>
          <w:color w:val="auto"/>
          <w:highlight w:val="none"/>
        </w:rPr>
        <w:t>的违约金。</w:t>
      </w:r>
    </w:p>
    <w:p w14:paraId="25973F9A">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3、乙方违反本合同第十条第3款约定的，甲方有权单方面解除租赁合同，已经收取的履约保证金、物业管理费、房屋公共维修金、水电费等费用不予退还。同时，乙方还应向甲方支付相当于解除合同当期一个月月租金的违约金。</w:t>
      </w:r>
    </w:p>
    <w:p w14:paraId="5428C19C">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4、租赁期内，一方以非本合同项下</w:t>
      </w:r>
      <w:r>
        <w:rPr>
          <w:rFonts w:hint="eastAsia" w:ascii="仿宋" w:hAnsi="仿宋" w:eastAsia="仿宋" w:cs="仿宋"/>
          <w:color w:val="auto"/>
          <w:highlight w:val="none"/>
        </w:rPr>
        <w:t>第十条</w:t>
      </w:r>
      <w:r>
        <w:rPr>
          <w:rFonts w:hint="eastAsia" w:ascii="仿宋" w:hAnsi="仿宋" w:eastAsia="仿宋" w:cs="仿宋"/>
          <w:color w:val="auto"/>
          <w:highlight w:val="none"/>
        </w:rPr>
        <w:t>约定的理由提前解除合同的，应提前一个月书面通知对方，并向守约方支付相当于解除合同当期一个月月租金的违约金。</w:t>
      </w:r>
    </w:p>
    <w:p w14:paraId="3216CD16">
      <w:pPr>
        <w:adjustRightInd w:val="0"/>
        <w:snapToGrid w:val="0"/>
        <w:spacing w:line="276" w:lineRule="auto"/>
        <w:ind w:firstLine="564" w:firstLineChars="235"/>
        <w:rPr>
          <w:rFonts w:hint="eastAsia" w:ascii="仿宋" w:hAnsi="仿宋" w:eastAsia="仿宋" w:cs="仿宋"/>
          <w:color w:val="auto"/>
          <w:highlight w:val="none"/>
        </w:rPr>
      </w:pPr>
      <w:r>
        <w:rPr>
          <w:rFonts w:hint="eastAsia" w:ascii="仿宋" w:hAnsi="仿宋" w:eastAsia="仿宋" w:cs="仿宋"/>
          <w:color w:val="auto"/>
          <w:highlight w:val="none"/>
        </w:rPr>
        <w:t>5、</w:t>
      </w:r>
      <w:r>
        <w:rPr>
          <w:rFonts w:hint="eastAsia" w:ascii="仿宋" w:hAnsi="仿宋" w:eastAsia="仿宋" w:cs="仿宋"/>
          <w:color w:val="auto"/>
          <w:highlight w:val="none"/>
          <w:lang w:bidi="ar"/>
        </w:rPr>
        <w:t>本合同期满或提前解除、终止后，乙方应按本合同约定返还租赁房屋及办理完毕租赁房屋项下的工商、税务等住所登记或经营场所备案等迁移或撤销手续。乙方逾期返还房屋的，逾期时间未超过30日的，每逾期一日应向甲方支付相当于日租金双倍的房屋占用费；逾期时间超过30日的，从逾期搬离之日计至实际搬离之日，每逾期一日应向甲方支付相当于日租金三倍的房屋占用费。若逾期返还租赁房屋给甲方造成的损失超过房屋占用费的，乙方应按实际损失予以赔偿。</w:t>
      </w:r>
    </w:p>
    <w:p w14:paraId="6CFF58F6">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6、若乙方逾期支付各项费用超过30日或在本合同已解除、终止时未予退房的，乙方除按本条第1～5款承担违约责任外，并自愿接受甲方或物业公司采取包括对乙方停水、停电等一切合法有效措施催促其履行付款或退房义务，所造成的一切损失由乙方承担。</w:t>
      </w:r>
    </w:p>
    <w:p w14:paraId="2C2D476B">
      <w:pPr>
        <w:widowControl/>
        <w:autoSpaceDE w:val="0"/>
        <w:autoSpaceDN w:val="0"/>
        <w:adjustRightInd w:val="0"/>
        <w:snapToGrid w:val="0"/>
        <w:spacing w:before="0" w:after="0" w:line="276" w:lineRule="auto"/>
        <w:ind w:firstLine="480" w:firstLineChars="200"/>
        <w:textAlignment w:val="bottom"/>
        <w:rPr>
          <w:rFonts w:hint="eastAsia" w:ascii="仿宋" w:hAnsi="仿宋" w:eastAsia="仿宋" w:cs="仿宋"/>
          <w:color w:val="auto"/>
          <w:highlight w:val="none"/>
        </w:rPr>
      </w:pPr>
      <w:r>
        <w:rPr>
          <w:rFonts w:hint="eastAsia" w:ascii="仿宋" w:hAnsi="仿宋" w:eastAsia="仿宋" w:cs="仿宋"/>
          <w:color w:val="auto"/>
          <w:highlight w:val="none"/>
        </w:rPr>
        <w:t>7、乙方在此同意，倘若在任何时间内租赁房屋的水、电供应停止或租赁房屋任何公共设施停止运作，甲方不必对乙方或任何其它第三方负责。如因不可抗力原因导致租赁房屋损坏或致使乙方遭受损失的，双方互不承担责任。</w:t>
      </w:r>
    </w:p>
    <w:p w14:paraId="0202544E">
      <w:pPr>
        <w:widowControl/>
        <w:autoSpaceDE w:val="0"/>
        <w:autoSpaceDN w:val="0"/>
        <w:adjustRightInd w:val="0"/>
        <w:snapToGrid w:val="0"/>
        <w:spacing w:before="0" w:after="0" w:line="276" w:lineRule="auto"/>
        <w:ind w:firstLine="480" w:firstLineChars="200"/>
        <w:textAlignment w:val="bottom"/>
        <w:rPr>
          <w:rFonts w:hint="eastAsia" w:ascii="仿宋" w:hAnsi="仿宋" w:eastAsia="仿宋" w:cs="仿宋"/>
          <w:color w:val="auto"/>
          <w:highlight w:val="none"/>
        </w:rPr>
      </w:pPr>
      <w:r>
        <w:rPr>
          <w:rFonts w:hint="eastAsia" w:ascii="仿宋" w:hAnsi="仿宋" w:eastAsia="仿宋" w:cs="仿宋"/>
          <w:color w:val="auto"/>
          <w:highlight w:val="none"/>
        </w:rPr>
        <w:t>8、租赁房屋内的任何部分因通讯的失效、故障、暂停，或因有水、烟、火、有害气体或任何其它物质泄漏，或因老鼠、白蚁、蟑螂、其它害虫的滋生，或因遭受爆炸、盗窃、抢劫，或因其它损害，而对乙方或任何其它第三方造成的任何个人或财物上的损失或破坏。乙方在此声明，如上述情况非因甲方的主观故意直接引起，甲方无需对乙方或任何其它第三方承担责任，乙方应直接与造成损害的直接责任方交涉。</w:t>
      </w:r>
    </w:p>
    <w:p w14:paraId="619C23A8">
      <w:pPr>
        <w:widowControl/>
        <w:autoSpaceDE w:val="0"/>
        <w:autoSpaceDN w:val="0"/>
        <w:adjustRightInd w:val="0"/>
        <w:snapToGrid w:val="0"/>
        <w:spacing w:before="0" w:after="0" w:line="276" w:lineRule="auto"/>
        <w:ind w:firstLine="480" w:firstLineChars="200"/>
        <w:textAlignment w:val="bottom"/>
        <w:rPr>
          <w:rFonts w:hint="eastAsia" w:ascii="仿宋" w:hAnsi="仿宋" w:eastAsia="仿宋" w:cs="仿宋"/>
          <w:color w:val="auto"/>
          <w:szCs w:val="21"/>
          <w:highlight w:val="none"/>
        </w:rPr>
      </w:pPr>
      <w:r>
        <w:rPr>
          <w:rFonts w:hint="eastAsia" w:ascii="仿宋" w:hAnsi="仿宋" w:eastAsia="仿宋" w:cs="仿宋"/>
          <w:color w:val="auto"/>
          <w:highlight w:val="none"/>
        </w:rPr>
        <w:t>9、甲方向租赁房屋提供的安保、管理人员、任何性质的机械、电子防盗系统，将不构成甲方有义务负责租赁房屋或其内财物的保安、保管。乙方在任何时间都应自行对租赁</w:t>
      </w:r>
      <w:r>
        <w:rPr>
          <w:rFonts w:hint="eastAsia" w:ascii="仿宋" w:hAnsi="仿宋" w:eastAsia="仿宋" w:cs="仿宋"/>
          <w:color w:val="auto"/>
          <w:szCs w:val="21"/>
          <w:highlight w:val="none"/>
        </w:rPr>
        <w:t>房屋或其内财物负责。</w:t>
      </w:r>
    </w:p>
    <w:p w14:paraId="3984E33A">
      <w:pPr>
        <w:spacing w:line="240" w:lineRule="auto"/>
        <w:ind w:firstLine="480" w:firstLineChars="200"/>
        <w:rPr>
          <w:rFonts w:hint="eastAsia" w:ascii="仿宋" w:hAnsi="仿宋" w:eastAsia="仿宋" w:cs="仿宋"/>
          <w:color w:val="auto"/>
          <w:szCs w:val="21"/>
          <w:highlight w:val="none"/>
        </w:rPr>
      </w:pPr>
      <w:r>
        <w:rPr>
          <w:rFonts w:hint="eastAsia" w:ascii="仿宋" w:hAnsi="仿宋" w:eastAsia="仿宋" w:cs="仿宋"/>
          <w:color w:val="auto"/>
          <w:highlight w:val="none"/>
          <w:lang w:bidi="ar"/>
        </w:rPr>
        <w:t>10</w:t>
      </w:r>
      <w:r>
        <w:rPr>
          <w:rFonts w:hint="eastAsia" w:ascii="仿宋" w:hAnsi="仿宋" w:eastAsia="仿宋" w:cs="仿宋"/>
          <w:color w:val="auto"/>
          <w:highlight w:val="none"/>
        </w:rPr>
        <w:t>、以乙方承诺履行本合同约定的全部租期、不提前解除或终止合同为前提，</w:t>
      </w:r>
      <w:r>
        <w:rPr>
          <w:rFonts w:hint="eastAsia" w:ascii="仿宋" w:hAnsi="仿宋" w:eastAsia="仿宋" w:cs="仿宋"/>
          <w:color w:val="auto"/>
          <w:highlight w:val="none"/>
          <w:lang w:eastAsia="zh-Hans"/>
        </w:rPr>
        <w:t>甲方同意乙方按合同约定的方式缴纳租金并享有相关租金优惠政策。</w:t>
      </w:r>
      <w:r>
        <w:rPr>
          <w:rFonts w:hint="eastAsia" w:ascii="仿宋" w:hAnsi="仿宋" w:eastAsia="仿宋" w:cs="仿宋"/>
          <w:color w:val="auto"/>
          <w:highlight w:val="none"/>
        </w:rPr>
        <w:t>为此，乙方同意并确认，若由于乙方原因导致本合同提前解除或终止的，乙方须按比例向甲方补交因给予乙方租金优惠政策所产生相对应的租金（计算方式为：优惠的租金总金额×实际未履行租期÷合同约定的总租期，甲方有权在履约保证金中直接扣除）。</w:t>
      </w:r>
      <w:r>
        <w:rPr>
          <w:rFonts w:hint="eastAsia" w:ascii="仿宋" w:hAnsi="仿宋" w:eastAsia="仿宋" w:cs="仿宋"/>
          <w:color w:val="auto"/>
          <w:highlight w:val="none"/>
        </w:rPr>
        <w:t>（选择性条款）</w:t>
      </w:r>
    </w:p>
    <w:p w14:paraId="3AC92390">
      <w:pPr>
        <w:spacing w:line="240" w:lineRule="auto"/>
        <w:ind w:firstLine="477" w:firstLineChars="198"/>
        <w:rPr>
          <w:rFonts w:hint="eastAsia" w:ascii="仿宋" w:hAnsi="仿宋" w:eastAsia="仿宋" w:cs="仿宋"/>
          <w:b/>
          <w:bCs/>
          <w:color w:val="auto"/>
          <w:highlight w:val="none"/>
        </w:rPr>
      </w:pPr>
      <w:r>
        <w:rPr>
          <w:rFonts w:hint="eastAsia" w:ascii="仿宋" w:hAnsi="仿宋" w:eastAsia="仿宋" w:cs="仿宋"/>
          <w:b/>
          <w:bCs/>
          <w:color w:val="auto"/>
          <w:highlight w:val="none"/>
        </w:rPr>
        <w:t>第十二条 不可抗力</w:t>
      </w:r>
    </w:p>
    <w:p w14:paraId="733A0C0C">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1、因下列不可抗力因素导致合同无法履行的，不属于甲、乙方违约，任何一方均有权提前解除或终止合同，且互不追究违约责任：（1）地震、台风等自然灾害；（2）政府房屋租赁政策变化、政府规划建设需要、政府强制征用拆迁等政府行为，致使必须终止合同的。</w:t>
      </w:r>
    </w:p>
    <w:p w14:paraId="75BCCF69">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2、本条第1款第（1）项约定的不可抗力情形发生后，提出因该情形提前解除或终止合同的一方，应于不可抗力情形结束后15日内书面告知对方，并提交发生不可抗力情形所在地有关权威部门出具的合法有效证明。不提供该合法有效证明的，不适用免责条款。</w:t>
      </w:r>
    </w:p>
    <w:p w14:paraId="79F2877D">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3、本条第1款第（2）项约定的不可抗力情形发生后，甲方应提前书面通知乙方，乙方应在甲方通知的期限内或政府规定的期限内将租赁房屋按本合同第九条约定移交给甲方。若政府有对装饰装修物、改扩、增添的附属设备设施进行补偿，该补偿归乙方所有，由此所造成的损失由各方自行承担。若政府有对除装饰装修物、改扩、增添的附属设备设施以外进行补偿，该补偿归甲方所有。</w:t>
      </w:r>
    </w:p>
    <w:p w14:paraId="6B413819">
      <w:pPr>
        <w:spacing w:line="240" w:lineRule="auto"/>
        <w:ind w:firstLine="477" w:firstLineChars="198"/>
        <w:rPr>
          <w:rFonts w:hint="eastAsia" w:ascii="仿宋" w:hAnsi="仿宋" w:eastAsia="仿宋" w:cs="仿宋"/>
          <w:b/>
          <w:bCs/>
          <w:color w:val="auto"/>
          <w:highlight w:val="none"/>
        </w:rPr>
      </w:pPr>
      <w:r>
        <w:rPr>
          <w:rFonts w:hint="eastAsia" w:ascii="仿宋" w:hAnsi="仿宋" w:eastAsia="仿宋" w:cs="仿宋"/>
          <w:b/>
          <w:bCs/>
          <w:color w:val="auto"/>
          <w:highlight w:val="none"/>
        </w:rPr>
        <w:t>第十三条 争议解决</w:t>
      </w:r>
    </w:p>
    <w:p w14:paraId="32199ABE">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本合同当事人应诚意执行合同约定，若在履行本合同时发生争议，由甲乙双方及时协商解决，协商不成的，任何一方有权向房屋所在地有管辖权的人民法院提出诉讼。</w:t>
      </w:r>
    </w:p>
    <w:p w14:paraId="4F1BCF13">
      <w:pPr>
        <w:spacing w:line="240" w:lineRule="auto"/>
        <w:ind w:firstLine="477" w:firstLineChars="198"/>
        <w:rPr>
          <w:rFonts w:hint="eastAsia" w:ascii="仿宋" w:hAnsi="仿宋" w:eastAsia="仿宋" w:cs="仿宋"/>
          <w:b/>
          <w:bCs/>
          <w:color w:val="auto"/>
          <w:highlight w:val="none"/>
        </w:rPr>
      </w:pPr>
      <w:r>
        <w:rPr>
          <w:rFonts w:hint="eastAsia" w:ascii="仿宋" w:hAnsi="仿宋" w:eastAsia="仿宋" w:cs="仿宋"/>
          <w:b/>
          <w:bCs/>
          <w:color w:val="auto"/>
          <w:highlight w:val="none"/>
        </w:rPr>
        <w:t>第十四条 其他约定条款</w:t>
      </w:r>
    </w:p>
    <w:p w14:paraId="43CAF187">
      <w:pPr>
        <w:tabs>
          <w:tab w:val="left" w:pos="1620"/>
        </w:tabs>
        <w:spacing w:line="240" w:lineRule="auto"/>
        <w:ind w:firstLine="482" w:firstLineChars="200"/>
        <w:jc w:val="left"/>
        <w:rPr>
          <w:rFonts w:hint="eastAsia" w:ascii="仿宋" w:hAnsi="仿宋" w:eastAsia="仿宋" w:cs="仿宋"/>
          <w:color w:val="auto"/>
          <w:highlight w:val="none"/>
        </w:rPr>
      </w:pPr>
      <w:r>
        <w:rPr>
          <w:rFonts w:hint="eastAsia" w:ascii="仿宋" w:hAnsi="仿宋" w:eastAsia="仿宋" w:cs="仿宋"/>
          <w:b/>
          <w:bCs/>
          <w:color w:val="auto"/>
          <w:highlight w:val="none"/>
        </w:rPr>
        <w:t>1、如乙方因经营不善等原因确需转租的，应当提前一个月向甲方提交书面转租申请、次承租人主体信息/身份信息及转租合同文本，经甲方书面同意后方可转租。乙方与次承租人最终签订的转租合同应与甲方批准的转租合同文本一致，并应于签订后5日内报备至甲方。</w:t>
      </w:r>
    </w:p>
    <w:p w14:paraId="29FEFA0A">
      <w:pPr>
        <w:tabs>
          <w:tab w:val="left" w:pos="1620"/>
        </w:tabs>
        <w:spacing w:line="240" w:lineRule="auto"/>
        <w:ind w:firstLine="482" w:firstLineChars="200"/>
        <w:jc w:val="left"/>
        <w:rPr>
          <w:rFonts w:hint="eastAsia" w:ascii="仿宋" w:hAnsi="仿宋" w:eastAsia="仿宋" w:cs="仿宋"/>
          <w:bCs/>
          <w:color w:val="auto"/>
          <w:highlight w:val="none"/>
        </w:rPr>
      </w:pPr>
      <w:r>
        <w:rPr>
          <w:rFonts w:hint="eastAsia" w:ascii="仿宋" w:hAnsi="仿宋" w:eastAsia="仿宋" w:cs="仿宋"/>
          <w:b/>
          <w:color w:val="auto"/>
          <w:highlight w:val="none"/>
        </w:rPr>
        <w:t>2、乙方有意于本合同租赁期限届满后继续承租租赁房屋的，应当至少于租赁期限届满前3个月向甲方提交书面续租申请。是否同意续租，由甲方根据法律规定、国资监管要求及甲方自身决策流程自主决定。乙方接受甲方的续租方案的，双方可以于租赁期限届满前另行签订租赁合同。若双方未能就续租事宜达成一致，甲方有权于本合同期限届满后收回租赁房屋或重新招租。</w:t>
      </w:r>
      <w:r>
        <w:rPr>
          <w:rFonts w:hint="eastAsia" w:ascii="仿宋" w:hAnsi="仿宋" w:eastAsia="仿宋" w:cs="仿宋"/>
          <w:bCs/>
          <w:color w:val="auto"/>
          <w:highlight w:val="none"/>
        </w:rPr>
        <w:t>（选择性条款，适用于：租赁标的首次出租给本合同承租人，仅可续租一次。）</w:t>
      </w:r>
    </w:p>
    <w:p w14:paraId="70D351E9">
      <w:pPr>
        <w:tabs>
          <w:tab w:val="left" w:pos="1620"/>
        </w:tabs>
        <w:spacing w:line="240" w:lineRule="auto"/>
        <w:ind w:firstLine="480" w:firstLineChars="200"/>
        <w:jc w:val="left"/>
        <w:rPr>
          <w:rFonts w:hint="eastAsia" w:ascii="仿宋" w:hAnsi="仿宋" w:eastAsia="仿宋" w:cs="仿宋"/>
          <w:b/>
          <w:color w:val="auto"/>
          <w:highlight w:val="none"/>
        </w:rPr>
      </w:pPr>
      <w:r>
        <w:rPr>
          <w:rFonts w:hint="eastAsia" w:ascii="仿宋" w:hAnsi="仿宋" w:eastAsia="仿宋" w:cs="仿宋"/>
          <w:bCs/>
          <w:color w:val="auto"/>
          <w:highlight w:val="none"/>
        </w:rPr>
        <w:t>或：</w:t>
      </w:r>
      <w:r>
        <w:rPr>
          <w:rFonts w:hint="eastAsia" w:ascii="仿宋" w:hAnsi="仿宋" w:eastAsia="仿宋" w:cs="仿宋"/>
          <w:b/>
          <w:color w:val="auto"/>
          <w:highlight w:val="none"/>
        </w:rPr>
        <w:t>根据厦门市国有资产监督管理委员会和甲方公司的相关规定，国有房产出租应采用公开竞争的方式招租。本合同期限届满后，甲方有权收回租赁房屋或重新招租。</w:t>
      </w:r>
      <w:r>
        <w:rPr>
          <w:rFonts w:hint="eastAsia" w:ascii="仿宋" w:hAnsi="仿宋" w:eastAsia="仿宋" w:cs="仿宋"/>
          <w:bCs/>
          <w:color w:val="auto"/>
          <w:highlight w:val="none"/>
        </w:rPr>
        <w:t>（选择性条款，适用于：租赁标的非首次出租给本合同承租人。）</w:t>
      </w:r>
    </w:p>
    <w:p w14:paraId="163082FF">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3、本合同项下告知、通知等正式文书，除另有约定外，均须以书面方式进行。本合同首部所确认的通讯地址（在乙方正式搬入租赁房屋后该地址变更为租赁房屋）、联系方式（含电话、联系人及传真、电子邮箱）为双方确认有效的送达地址、联系方式，在履行本合同中双方有任何争议，任何一方向该地址送达即视为有效送达（即使退件也不例外）。若其中一方地址或联系方式（含电话、联系人及传真）发生变化，应立即书面通知另一方，双方重新确认，否则对方向原地址送达或以原方式送达即视为有效送达（即使退件也不例外）。送达时间以制作文书方按照前述约定地址寄出之日起算三个工作日即视为送达。</w:t>
      </w:r>
    </w:p>
    <w:p w14:paraId="70CB7470">
      <w:pPr>
        <w:adjustRightInd w:val="0"/>
        <w:snapToGrid w:val="0"/>
        <w:spacing w:after="120"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4、本合同项下的日租金计算方式为：解除合同当期一个月月租金/30日。</w:t>
      </w:r>
    </w:p>
    <w:p w14:paraId="31D08703">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5、合同解除：本合同项下的合同解除日期，解除文书以邮寄送达的，邮寄送达之日为合同解除之日；上门送达的，对方盖公章确认之日即为合同解除之日；电子邮箱送达的，发送当日为合同解除之日。同时有多种送达方式的，以最先送达日为合同解除之日，对合同解除有异议的，应在</w:t>
      </w:r>
      <w:r>
        <w:rPr>
          <w:rFonts w:hint="eastAsia" w:ascii="仿宋" w:hAnsi="仿宋" w:eastAsia="仿宋" w:cs="仿宋"/>
          <w:color w:val="auto"/>
          <w:highlight w:val="none"/>
        </w:rPr>
        <w:t>合同解除之日起7日内以书面形式向提出解除合同的一方提出。</w:t>
      </w:r>
    </w:p>
    <w:p w14:paraId="1EB977B2">
      <w:pPr>
        <w:tabs>
          <w:tab w:val="left" w:pos="1620"/>
        </w:tabs>
        <w:spacing w:line="240" w:lineRule="auto"/>
        <w:ind w:firstLine="480" w:firstLineChars="200"/>
        <w:jc w:val="left"/>
        <w:rPr>
          <w:rFonts w:hint="eastAsia" w:ascii="仿宋" w:hAnsi="仿宋" w:eastAsia="仿宋" w:cs="仿宋"/>
          <w:color w:val="auto"/>
          <w:highlight w:val="none"/>
        </w:rPr>
      </w:pPr>
      <w:r>
        <w:rPr>
          <w:rFonts w:hint="eastAsia" w:ascii="仿宋" w:hAnsi="仿宋" w:eastAsia="仿宋" w:cs="仿宋"/>
          <w:color w:val="auto"/>
          <w:highlight w:val="none"/>
        </w:rPr>
        <w:t>6、合同终止：本合同项下的合同终止日期，以双方协议文本上约定的终止具体日期为准，未载明具体日期的，签订终止协议之日即为终止日。</w:t>
      </w:r>
    </w:p>
    <w:p w14:paraId="2444F579">
      <w:pPr>
        <w:tabs>
          <w:tab w:val="left" w:pos="1620"/>
        </w:tabs>
        <w:spacing w:line="240" w:lineRule="auto"/>
        <w:ind w:firstLine="480" w:firstLineChars="200"/>
        <w:jc w:val="left"/>
        <w:rPr>
          <w:rFonts w:hint="eastAsia" w:ascii="仿宋" w:hAnsi="仿宋" w:eastAsia="仿宋" w:cs="仿宋"/>
          <w:color w:val="auto"/>
          <w:highlight w:val="none"/>
        </w:rPr>
      </w:pPr>
      <w:r>
        <w:rPr>
          <w:rFonts w:hint="eastAsia" w:ascii="仿宋" w:hAnsi="仿宋" w:eastAsia="仿宋" w:cs="仿宋"/>
          <w:color w:val="auto"/>
          <w:highlight w:val="none"/>
        </w:rPr>
        <w:t>7、若乙方违约或造成甲方损失的，乙方应全额（包括但不限于甲方追讨过程中产生的诉讼费、保全费、财产保全担保费、公告费、律师费、执</w:t>
      </w:r>
      <w:r>
        <w:rPr>
          <w:rFonts w:hint="eastAsia" w:ascii="仿宋" w:hAnsi="仿宋" w:eastAsia="仿宋" w:cs="仿宋"/>
          <w:color w:val="auto"/>
          <w:highlight w:val="none"/>
        </w:rPr>
        <w:t>行费、清场费等实际发生费用）赔偿，并承担违约责任。</w:t>
      </w:r>
    </w:p>
    <w:p w14:paraId="0F486711">
      <w:pPr>
        <w:tabs>
          <w:tab w:val="left" w:pos="1620"/>
        </w:tabs>
        <w:adjustRightInd w:val="0"/>
        <w:snapToGrid w:val="0"/>
        <w:spacing w:line="276" w:lineRule="auto"/>
        <w:ind w:firstLine="480" w:firstLineChars="200"/>
        <w:jc w:val="left"/>
        <w:rPr>
          <w:rFonts w:hint="eastAsia" w:ascii="仿宋" w:hAnsi="仿宋" w:eastAsia="仿宋" w:cs="仿宋"/>
          <w:color w:val="auto"/>
          <w:highlight w:val="none"/>
        </w:rPr>
      </w:pPr>
      <w:r>
        <w:rPr>
          <w:rFonts w:hint="eastAsia" w:ascii="仿宋" w:hAnsi="仿宋" w:eastAsia="仿宋" w:cs="仿宋"/>
          <w:color w:val="auto"/>
          <w:highlight w:val="none"/>
        </w:rPr>
        <w:t>8、本合同签订时，乙方应同时签订《</w:t>
      </w:r>
      <w:r>
        <w:rPr>
          <w:rFonts w:hint="eastAsia" w:ascii="仿宋" w:hAnsi="仿宋" w:eastAsia="仿宋" w:cs="仿宋"/>
          <w:color w:val="auto"/>
          <w:highlight w:val="none"/>
        </w:rPr>
        <w:t>安全生产管理协议</w:t>
      </w:r>
      <w:r>
        <w:rPr>
          <w:rFonts w:hint="eastAsia" w:ascii="仿宋" w:hAnsi="仿宋" w:eastAsia="仿宋" w:cs="仿宋"/>
          <w:color w:val="auto"/>
          <w:highlight w:val="none"/>
        </w:rPr>
        <w:t>》，作为本合同的组成部分，具有同等的法律效力。</w:t>
      </w:r>
    </w:p>
    <w:p w14:paraId="1C1A8D24">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9、本合同未尽事宜，经甲乙双方协商一致，可另行签订补充协议。</w:t>
      </w:r>
    </w:p>
    <w:p w14:paraId="0736B796">
      <w:pPr>
        <w:spacing w:line="240" w:lineRule="auto"/>
        <w:ind w:firstLine="477" w:firstLineChars="198"/>
        <w:rPr>
          <w:rFonts w:hint="eastAsia" w:ascii="仿宋" w:hAnsi="仿宋" w:eastAsia="仿宋" w:cs="仿宋"/>
          <w:b/>
          <w:bCs/>
          <w:color w:val="auto"/>
          <w:highlight w:val="none"/>
        </w:rPr>
      </w:pPr>
      <w:r>
        <w:rPr>
          <w:rFonts w:hint="eastAsia" w:ascii="仿宋" w:hAnsi="仿宋" w:eastAsia="仿宋" w:cs="仿宋"/>
          <w:b/>
          <w:bCs/>
          <w:color w:val="auto"/>
          <w:highlight w:val="none"/>
        </w:rPr>
        <w:t>第十五条 合同效力与附件</w:t>
      </w:r>
    </w:p>
    <w:p w14:paraId="1E85AE8C">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1、本合同自甲乙双方签订后且乙方按合同约定付清首期租金、履约保证金之日起生效，乙方若未付清首期租金、履约保证金，则本合同不生效。</w:t>
      </w:r>
    </w:p>
    <w:p w14:paraId="28D11883">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2、本合同壹式肆份，甲、乙双方各执贰份，合同附件与本合同均具有同等法律效力。</w:t>
      </w:r>
    </w:p>
    <w:p w14:paraId="6D3B6F63">
      <w:pPr>
        <w:adjustRightInd w:val="0"/>
        <w:snapToGrid w:val="0"/>
        <w:spacing w:line="276" w:lineRule="auto"/>
        <w:rPr>
          <w:rFonts w:hint="eastAsia" w:ascii="仿宋" w:hAnsi="仿宋" w:eastAsia="仿宋" w:cs="仿宋"/>
          <w:color w:val="auto"/>
          <w:highlight w:val="none"/>
        </w:rPr>
      </w:pPr>
      <w:r>
        <w:rPr>
          <w:rFonts w:hint="eastAsia" w:ascii="仿宋" w:hAnsi="仿宋" w:eastAsia="仿宋" w:cs="仿宋"/>
          <w:color w:val="auto"/>
          <w:highlight w:val="none"/>
        </w:rPr>
        <w:t>（以下无正文）</w:t>
      </w:r>
    </w:p>
    <w:p w14:paraId="5ADB9C81">
      <w:pPr>
        <w:adjustRightInd w:val="0"/>
        <w:snapToGrid w:val="0"/>
        <w:spacing w:line="276" w:lineRule="auto"/>
        <w:ind w:firstLine="480" w:firstLineChars="200"/>
        <w:rPr>
          <w:rFonts w:hint="eastAsia" w:ascii="仿宋" w:hAnsi="仿宋" w:eastAsia="仿宋" w:cs="仿宋"/>
          <w:color w:val="auto"/>
          <w:highlight w:val="none"/>
        </w:rPr>
      </w:pPr>
    </w:p>
    <w:p w14:paraId="299B212F">
      <w:pPr>
        <w:adjustRightInd w:val="0"/>
        <w:snapToGrid w:val="0"/>
        <w:spacing w:line="276" w:lineRule="auto"/>
        <w:ind w:firstLine="480" w:firstLineChars="200"/>
        <w:rPr>
          <w:rFonts w:hint="eastAsia" w:ascii="仿宋" w:hAnsi="仿宋" w:eastAsia="仿宋" w:cs="仿宋"/>
          <w:color w:val="auto"/>
          <w:highlight w:val="none"/>
        </w:rPr>
      </w:pPr>
    </w:p>
    <w:p w14:paraId="7994B8E1">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甲方（盖章）：                         乙方（盖章）：</w:t>
      </w:r>
    </w:p>
    <w:p w14:paraId="46C32494">
      <w:pPr>
        <w:adjustRightInd w:val="0"/>
        <w:snapToGrid w:val="0"/>
        <w:spacing w:line="276" w:lineRule="auto"/>
        <w:ind w:firstLine="480" w:firstLineChars="200"/>
        <w:rPr>
          <w:rFonts w:hint="eastAsia" w:ascii="仿宋" w:hAnsi="仿宋" w:eastAsia="仿宋" w:cs="仿宋"/>
          <w:color w:val="auto"/>
          <w:highlight w:val="none"/>
        </w:rPr>
      </w:pPr>
      <w:r>
        <w:rPr>
          <w:rFonts w:hint="eastAsia" w:ascii="仿宋" w:hAnsi="仿宋" w:eastAsia="仿宋" w:cs="仿宋"/>
          <w:color w:val="auto"/>
          <w:highlight w:val="none"/>
        </w:rPr>
        <w:t>法定代表人：                        法定代表人：</w:t>
      </w:r>
    </w:p>
    <w:p w14:paraId="1195F58B">
      <w:pPr>
        <w:adjustRightInd w:val="0"/>
        <w:snapToGrid w:val="0"/>
        <w:spacing w:line="276" w:lineRule="auto"/>
        <w:ind w:left="120" w:leftChars="50" w:firstLine="360" w:firstLineChars="150"/>
        <w:rPr>
          <w:rFonts w:hint="eastAsia" w:ascii="仿宋" w:hAnsi="仿宋" w:eastAsia="仿宋" w:cs="仿宋"/>
          <w:color w:val="auto"/>
          <w:highlight w:val="none"/>
        </w:rPr>
      </w:pPr>
      <w:r>
        <w:rPr>
          <w:rFonts w:hint="eastAsia" w:ascii="仿宋" w:hAnsi="仿宋" w:eastAsia="仿宋" w:cs="仿宋"/>
          <w:color w:val="auto"/>
          <w:highlight w:val="none"/>
        </w:rPr>
        <w:t xml:space="preserve">或授权代表：                        或授权代表：   </w:t>
      </w:r>
    </w:p>
    <w:p w14:paraId="080B5B19">
      <w:pPr>
        <w:spacing w:line="240" w:lineRule="auto"/>
        <w:ind w:right="480" w:firstLine="2048" w:firstLineChars="850"/>
        <w:rPr>
          <w:rFonts w:hint="eastAsia" w:ascii="仿宋" w:hAnsi="仿宋" w:eastAsia="仿宋" w:cs="仿宋"/>
          <w:b/>
          <w:color w:val="auto"/>
          <w:highlight w:val="none"/>
        </w:rPr>
      </w:pPr>
      <w:r>
        <w:rPr>
          <w:rFonts w:hint="eastAsia" w:ascii="仿宋" w:hAnsi="仿宋" w:eastAsia="仿宋" w:cs="仿宋"/>
          <w:b/>
          <w:color w:val="auto"/>
          <w:highlight w:val="none"/>
        </w:rPr>
        <w:t>签订地点：</w:t>
      </w:r>
    </w:p>
    <w:p w14:paraId="6BDBC753">
      <w:pPr>
        <w:ind w:firstLine="2048" w:firstLineChars="850"/>
        <w:rPr>
          <w:rFonts w:ascii="仿宋_GB2312"/>
          <w:color w:val="auto"/>
          <w:highlight w:val="none"/>
        </w:rPr>
      </w:pPr>
      <w:r>
        <w:rPr>
          <w:rFonts w:hint="eastAsia" w:ascii="仿宋" w:hAnsi="仿宋" w:eastAsia="仿宋" w:cs="仿宋"/>
          <w:b/>
          <w:color w:val="auto"/>
          <w:highlight w:val="none"/>
        </w:rPr>
        <w:t>签订日期：      年    月    日</w:t>
      </w:r>
    </w:p>
    <w:p w14:paraId="7060DDAB">
      <w:pPr>
        <w:rPr>
          <w:color w:val="auto"/>
          <w:highlight w:val="none"/>
        </w:rPr>
      </w:pPr>
    </w:p>
    <w:bookmarkEnd w:id="0"/>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59068">
    <w:pPr>
      <w:pStyle w:val="5"/>
      <w:jc w:val="center"/>
    </w:pPr>
    <w:r>
      <w:rPr>
        <w:lang w:val="zh-CN"/>
      </w:rPr>
      <w:t xml:space="preserve"> </w:t>
    </w:r>
    <w:r>
      <w:rPr>
        <w:b/>
      </w:rPr>
      <w:fldChar w:fldCharType="begin"/>
    </w:r>
    <w:r>
      <w:rPr>
        <w:b/>
      </w:rPr>
      <w:instrText xml:space="preserve">PAGE</w:instrText>
    </w:r>
    <w:r>
      <w:rPr>
        <w:b/>
      </w:rPr>
      <w:fldChar w:fldCharType="separate"/>
    </w:r>
    <w:r>
      <w:rPr>
        <w:b/>
      </w:rPr>
      <w:t>11</w:t>
    </w:r>
    <w:r>
      <w:rPr>
        <w:b/>
      </w:rPr>
      <w:fldChar w:fldCharType="end"/>
    </w:r>
    <w:r>
      <w:rPr>
        <w:lang w:val="zh-CN"/>
      </w:rPr>
      <w:t xml:space="preserve"> / </w:t>
    </w:r>
    <w:r>
      <w:rPr>
        <w:b/>
      </w:rPr>
      <w:fldChar w:fldCharType="begin"/>
    </w:r>
    <w:r>
      <w:rPr>
        <w:b/>
      </w:rPr>
      <w:instrText xml:space="preserve">NUMPAGES</w:instrText>
    </w:r>
    <w:r>
      <w:rPr>
        <w:b/>
      </w:rPr>
      <w:fldChar w:fldCharType="separate"/>
    </w:r>
    <w:r>
      <w:rPr>
        <w:b/>
      </w:rPr>
      <w:t>11</w:t>
    </w:r>
    <w:r>
      <w:rPr>
        <w:b/>
      </w:rPr>
      <w:fldChar w:fldCharType="end"/>
    </w:r>
  </w:p>
  <w:p w14:paraId="1D4A5D84">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681AB">
    <w:pPr>
      <w:pStyle w:val="6"/>
      <w:pBdr>
        <w:bottom w:val="none" w:color="auto" w:sz="0" w:space="0"/>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dit="forms"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c4MTBmYWE0OTVmZDRkMDQyNjIzMTgwMzM1NWQzOTgifQ=="/>
  </w:docVars>
  <w:rsids>
    <w:rsidRoot w:val="00395253"/>
    <w:rsid w:val="0000030A"/>
    <w:rsid w:val="00002DF2"/>
    <w:rsid w:val="000074D0"/>
    <w:rsid w:val="0001254E"/>
    <w:rsid w:val="00012DEC"/>
    <w:rsid w:val="00015EEB"/>
    <w:rsid w:val="00032366"/>
    <w:rsid w:val="000406BD"/>
    <w:rsid w:val="00041575"/>
    <w:rsid w:val="00041893"/>
    <w:rsid w:val="00055704"/>
    <w:rsid w:val="00056706"/>
    <w:rsid w:val="000649A2"/>
    <w:rsid w:val="00071192"/>
    <w:rsid w:val="000746F8"/>
    <w:rsid w:val="0008391C"/>
    <w:rsid w:val="0009482F"/>
    <w:rsid w:val="00094CCE"/>
    <w:rsid w:val="000961EC"/>
    <w:rsid w:val="000A3D2F"/>
    <w:rsid w:val="000C7B9B"/>
    <w:rsid w:val="000D27FE"/>
    <w:rsid w:val="000E12D6"/>
    <w:rsid w:val="000E6A14"/>
    <w:rsid w:val="000F071D"/>
    <w:rsid w:val="000F1DA9"/>
    <w:rsid w:val="000F3016"/>
    <w:rsid w:val="000F6A23"/>
    <w:rsid w:val="000F790B"/>
    <w:rsid w:val="00103452"/>
    <w:rsid w:val="00103BB3"/>
    <w:rsid w:val="001075EB"/>
    <w:rsid w:val="00142C98"/>
    <w:rsid w:val="00145C2E"/>
    <w:rsid w:val="00190C3F"/>
    <w:rsid w:val="00193BAF"/>
    <w:rsid w:val="00193D6F"/>
    <w:rsid w:val="001B2A41"/>
    <w:rsid w:val="001B37D7"/>
    <w:rsid w:val="001C2152"/>
    <w:rsid w:val="001E29ED"/>
    <w:rsid w:val="001E469E"/>
    <w:rsid w:val="001F2D16"/>
    <w:rsid w:val="001F4627"/>
    <w:rsid w:val="001F7227"/>
    <w:rsid w:val="002070AB"/>
    <w:rsid w:val="00207C87"/>
    <w:rsid w:val="0022536B"/>
    <w:rsid w:val="002317E0"/>
    <w:rsid w:val="00242B40"/>
    <w:rsid w:val="002468E9"/>
    <w:rsid w:val="0025342A"/>
    <w:rsid w:val="00255788"/>
    <w:rsid w:val="002623B0"/>
    <w:rsid w:val="00265BF2"/>
    <w:rsid w:val="00271B7D"/>
    <w:rsid w:val="00274D13"/>
    <w:rsid w:val="00280E2D"/>
    <w:rsid w:val="00285A5C"/>
    <w:rsid w:val="00285F59"/>
    <w:rsid w:val="002B6C82"/>
    <w:rsid w:val="002D2E66"/>
    <w:rsid w:val="002E0D1C"/>
    <w:rsid w:val="00303F98"/>
    <w:rsid w:val="00310F6C"/>
    <w:rsid w:val="003123DC"/>
    <w:rsid w:val="003142A8"/>
    <w:rsid w:val="00317C03"/>
    <w:rsid w:val="00322F26"/>
    <w:rsid w:val="003345F8"/>
    <w:rsid w:val="003436B1"/>
    <w:rsid w:val="0034582F"/>
    <w:rsid w:val="00346F05"/>
    <w:rsid w:val="00354A52"/>
    <w:rsid w:val="00355279"/>
    <w:rsid w:val="00355A8B"/>
    <w:rsid w:val="00356DD2"/>
    <w:rsid w:val="00357793"/>
    <w:rsid w:val="003619B6"/>
    <w:rsid w:val="00363297"/>
    <w:rsid w:val="00364A23"/>
    <w:rsid w:val="00375CF3"/>
    <w:rsid w:val="00395253"/>
    <w:rsid w:val="003976D5"/>
    <w:rsid w:val="003B13FF"/>
    <w:rsid w:val="003B361F"/>
    <w:rsid w:val="003B4382"/>
    <w:rsid w:val="003D76E1"/>
    <w:rsid w:val="003E0AA9"/>
    <w:rsid w:val="003E10BC"/>
    <w:rsid w:val="003E1C41"/>
    <w:rsid w:val="003F1E1A"/>
    <w:rsid w:val="003F54C3"/>
    <w:rsid w:val="00401286"/>
    <w:rsid w:val="004030E5"/>
    <w:rsid w:val="00410779"/>
    <w:rsid w:val="00421A6D"/>
    <w:rsid w:val="004243E4"/>
    <w:rsid w:val="00443BD2"/>
    <w:rsid w:val="00456EB7"/>
    <w:rsid w:val="0046280C"/>
    <w:rsid w:val="00463C90"/>
    <w:rsid w:val="00464767"/>
    <w:rsid w:val="00464B98"/>
    <w:rsid w:val="00466A93"/>
    <w:rsid w:val="0047342C"/>
    <w:rsid w:val="00476BE7"/>
    <w:rsid w:val="0049333B"/>
    <w:rsid w:val="00493952"/>
    <w:rsid w:val="004B103C"/>
    <w:rsid w:val="004B6D28"/>
    <w:rsid w:val="004B7FEC"/>
    <w:rsid w:val="004D17A6"/>
    <w:rsid w:val="004E4062"/>
    <w:rsid w:val="004F2AF9"/>
    <w:rsid w:val="00504017"/>
    <w:rsid w:val="0051234A"/>
    <w:rsid w:val="0051315D"/>
    <w:rsid w:val="005311F9"/>
    <w:rsid w:val="00531928"/>
    <w:rsid w:val="00533A10"/>
    <w:rsid w:val="00535706"/>
    <w:rsid w:val="00536C1E"/>
    <w:rsid w:val="00537CEF"/>
    <w:rsid w:val="00540CC8"/>
    <w:rsid w:val="00552692"/>
    <w:rsid w:val="00573517"/>
    <w:rsid w:val="00592343"/>
    <w:rsid w:val="00593E23"/>
    <w:rsid w:val="005C1268"/>
    <w:rsid w:val="005D2AA5"/>
    <w:rsid w:val="005D4BC2"/>
    <w:rsid w:val="005D52A8"/>
    <w:rsid w:val="005E0892"/>
    <w:rsid w:val="005E42B6"/>
    <w:rsid w:val="005F6B63"/>
    <w:rsid w:val="00620618"/>
    <w:rsid w:val="00621271"/>
    <w:rsid w:val="00625AF8"/>
    <w:rsid w:val="0063172D"/>
    <w:rsid w:val="0063498C"/>
    <w:rsid w:val="00655AD5"/>
    <w:rsid w:val="0066344D"/>
    <w:rsid w:val="00665330"/>
    <w:rsid w:val="0066785C"/>
    <w:rsid w:val="00681A11"/>
    <w:rsid w:val="00683E3D"/>
    <w:rsid w:val="0069293F"/>
    <w:rsid w:val="00693843"/>
    <w:rsid w:val="0069558F"/>
    <w:rsid w:val="006B2E3A"/>
    <w:rsid w:val="006B409D"/>
    <w:rsid w:val="006B5099"/>
    <w:rsid w:val="006B7A60"/>
    <w:rsid w:val="006D40CC"/>
    <w:rsid w:val="006D550E"/>
    <w:rsid w:val="006D7A1B"/>
    <w:rsid w:val="006F4492"/>
    <w:rsid w:val="00702631"/>
    <w:rsid w:val="007032CE"/>
    <w:rsid w:val="007167ED"/>
    <w:rsid w:val="00731786"/>
    <w:rsid w:val="0073786F"/>
    <w:rsid w:val="007474D8"/>
    <w:rsid w:val="00752E86"/>
    <w:rsid w:val="00774D43"/>
    <w:rsid w:val="00793F3C"/>
    <w:rsid w:val="007966FA"/>
    <w:rsid w:val="007A5006"/>
    <w:rsid w:val="007A5058"/>
    <w:rsid w:val="007A50D3"/>
    <w:rsid w:val="007A6601"/>
    <w:rsid w:val="007A7F64"/>
    <w:rsid w:val="007B74AC"/>
    <w:rsid w:val="007C2526"/>
    <w:rsid w:val="007C527B"/>
    <w:rsid w:val="00800502"/>
    <w:rsid w:val="00804DC4"/>
    <w:rsid w:val="00812259"/>
    <w:rsid w:val="00812958"/>
    <w:rsid w:val="00812B12"/>
    <w:rsid w:val="00825C52"/>
    <w:rsid w:val="008351B5"/>
    <w:rsid w:val="008410D6"/>
    <w:rsid w:val="008508BA"/>
    <w:rsid w:val="008556E7"/>
    <w:rsid w:val="00870164"/>
    <w:rsid w:val="008B283D"/>
    <w:rsid w:val="008C51C0"/>
    <w:rsid w:val="008C569E"/>
    <w:rsid w:val="008D6CAB"/>
    <w:rsid w:val="008E46D2"/>
    <w:rsid w:val="008F5C50"/>
    <w:rsid w:val="008F67BD"/>
    <w:rsid w:val="00902647"/>
    <w:rsid w:val="009301B6"/>
    <w:rsid w:val="00933548"/>
    <w:rsid w:val="00937058"/>
    <w:rsid w:val="00953DD1"/>
    <w:rsid w:val="00957BDB"/>
    <w:rsid w:val="00963006"/>
    <w:rsid w:val="00964D4F"/>
    <w:rsid w:val="0096529F"/>
    <w:rsid w:val="00972D4B"/>
    <w:rsid w:val="0097603F"/>
    <w:rsid w:val="009801B1"/>
    <w:rsid w:val="00981C69"/>
    <w:rsid w:val="0098677E"/>
    <w:rsid w:val="00993246"/>
    <w:rsid w:val="009A31B4"/>
    <w:rsid w:val="009B053E"/>
    <w:rsid w:val="009B3783"/>
    <w:rsid w:val="009C0F53"/>
    <w:rsid w:val="009E155F"/>
    <w:rsid w:val="009E7DB1"/>
    <w:rsid w:val="009F24C8"/>
    <w:rsid w:val="009F3D6D"/>
    <w:rsid w:val="009F71D7"/>
    <w:rsid w:val="00A112D0"/>
    <w:rsid w:val="00A15E5A"/>
    <w:rsid w:val="00A26938"/>
    <w:rsid w:val="00A2793A"/>
    <w:rsid w:val="00A322AF"/>
    <w:rsid w:val="00A3625F"/>
    <w:rsid w:val="00A449CD"/>
    <w:rsid w:val="00A44A67"/>
    <w:rsid w:val="00A715C0"/>
    <w:rsid w:val="00A72353"/>
    <w:rsid w:val="00A80AD5"/>
    <w:rsid w:val="00A937EA"/>
    <w:rsid w:val="00A95034"/>
    <w:rsid w:val="00AA414D"/>
    <w:rsid w:val="00AA7C8B"/>
    <w:rsid w:val="00AC27DF"/>
    <w:rsid w:val="00AF2F9F"/>
    <w:rsid w:val="00B00F2B"/>
    <w:rsid w:val="00B17CA5"/>
    <w:rsid w:val="00B21A63"/>
    <w:rsid w:val="00B23F9C"/>
    <w:rsid w:val="00B40843"/>
    <w:rsid w:val="00B418A0"/>
    <w:rsid w:val="00B62299"/>
    <w:rsid w:val="00B97085"/>
    <w:rsid w:val="00BA0D77"/>
    <w:rsid w:val="00BB3C4F"/>
    <w:rsid w:val="00BB6E59"/>
    <w:rsid w:val="00BC2D54"/>
    <w:rsid w:val="00BD2E49"/>
    <w:rsid w:val="00BE45F3"/>
    <w:rsid w:val="00BF33F4"/>
    <w:rsid w:val="00BF64DE"/>
    <w:rsid w:val="00C00566"/>
    <w:rsid w:val="00C010A1"/>
    <w:rsid w:val="00C038E6"/>
    <w:rsid w:val="00C103B8"/>
    <w:rsid w:val="00C26541"/>
    <w:rsid w:val="00C4457A"/>
    <w:rsid w:val="00C463FD"/>
    <w:rsid w:val="00C5027C"/>
    <w:rsid w:val="00C67224"/>
    <w:rsid w:val="00C8045E"/>
    <w:rsid w:val="00C81EF7"/>
    <w:rsid w:val="00C84F3E"/>
    <w:rsid w:val="00C87561"/>
    <w:rsid w:val="00C90D9D"/>
    <w:rsid w:val="00CA38A2"/>
    <w:rsid w:val="00CB13FF"/>
    <w:rsid w:val="00CB3658"/>
    <w:rsid w:val="00CD4FA0"/>
    <w:rsid w:val="00CF3991"/>
    <w:rsid w:val="00CF4072"/>
    <w:rsid w:val="00D03D5B"/>
    <w:rsid w:val="00D0533C"/>
    <w:rsid w:val="00D124DB"/>
    <w:rsid w:val="00D212A0"/>
    <w:rsid w:val="00D2201C"/>
    <w:rsid w:val="00D25C4C"/>
    <w:rsid w:val="00D35FE7"/>
    <w:rsid w:val="00D449CD"/>
    <w:rsid w:val="00D46090"/>
    <w:rsid w:val="00D52943"/>
    <w:rsid w:val="00D63BFB"/>
    <w:rsid w:val="00D66F6E"/>
    <w:rsid w:val="00D70F4C"/>
    <w:rsid w:val="00D86B16"/>
    <w:rsid w:val="00D86DB0"/>
    <w:rsid w:val="00D95EF9"/>
    <w:rsid w:val="00D96EFF"/>
    <w:rsid w:val="00DA277E"/>
    <w:rsid w:val="00DA2DFD"/>
    <w:rsid w:val="00DA62F0"/>
    <w:rsid w:val="00DB5258"/>
    <w:rsid w:val="00DC535F"/>
    <w:rsid w:val="00DC5BC1"/>
    <w:rsid w:val="00DC6A03"/>
    <w:rsid w:val="00DD0493"/>
    <w:rsid w:val="00DD1A45"/>
    <w:rsid w:val="00DD47D3"/>
    <w:rsid w:val="00DD4C7A"/>
    <w:rsid w:val="00DF00E8"/>
    <w:rsid w:val="00E07B9E"/>
    <w:rsid w:val="00E07C5A"/>
    <w:rsid w:val="00E21B37"/>
    <w:rsid w:val="00E22A29"/>
    <w:rsid w:val="00E26353"/>
    <w:rsid w:val="00E457F3"/>
    <w:rsid w:val="00E47D86"/>
    <w:rsid w:val="00E70555"/>
    <w:rsid w:val="00E70B85"/>
    <w:rsid w:val="00E71FE4"/>
    <w:rsid w:val="00E7384C"/>
    <w:rsid w:val="00E84B18"/>
    <w:rsid w:val="00E85284"/>
    <w:rsid w:val="00E85FCB"/>
    <w:rsid w:val="00E91A21"/>
    <w:rsid w:val="00EA0AA7"/>
    <w:rsid w:val="00EA28F7"/>
    <w:rsid w:val="00EB3997"/>
    <w:rsid w:val="00EC0BCB"/>
    <w:rsid w:val="00EE1F32"/>
    <w:rsid w:val="00EF25EF"/>
    <w:rsid w:val="00EF3A14"/>
    <w:rsid w:val="00F21F89"/>
    <w:rsid w:val="00F22F00"/>
    <w:rsid w:val="00F30394"/>
    <w:rsid w:val="00F47479"/>
    <w:rsid w:val="00F54297"/>
    <w:rsid w:val="00F60A82"/>
    <w:rsid w:val="00F643A2"/>
    <w:rsid w:val="00F93E6E"/>
    <w:rsid w:val="00F945BC"/>
    <w:rsid w:val="00FA013F"/>
    <w:rsid w:val="00FD3787"/>
    <w:rsid w:val="00FD69F8"/>
    <w:rsid w:val="00FE0606"/>
    <w:rsid w:val="00FE50CF"/>
    <w:rsid w:val="00FF1956"/>
    <w:rsid w:val="0A2407EF"/>
    <w:rsid w:val="1C2C3ACF"/>
    <w:rsid w:val="29340B53"/>
    <w:rsid w:val="316B34E5"/>
    <w:rsid w:val="345E04E1"/>
    <w:rsid w:val="3C3A1E90"/>
    <w:rsid w:val="45E2327B"/>
    <w:rsid w:val="46810DD2"/>
    <w:rsid w:val="52A6391E"/>
    <w:rsid w:val="54202BF5"/>
    <w:rsid w:val="56EB65B1"/>
    <w:rsid w:val="61241984"/>
    <w:rsid w:val="635754F6"/>
    <w:rsid w:val="64E04862"/>
    <w:rsid w:val="668D761B"/>
    <w:rsid w:val="76F36A3A"/>
    <w:rsid w:val="7B753207"/>
    <w:rsid w:val="E3ACDC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90" w:after="60" w:line="400" w:lineRule="exact"/>
      <w:jc w:val="both"/>
    </w:pPr>
    <w:rPr>
      <w:rFonts w:ascii="Calibri" w:hAnsi="Calibri" w:eastAsia="仿宋_GB2312" w:cs="Calibri"/>
      <w:kern w:val="2"/>
      <w:sz w:val="24"/>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semiHidden/>
    <w:qFormat/>
    <w:uiPriority w:val="99"/>
    <w:pPr>
      <w:jc w:val="left"/>
    </w:pPr>
    <w:rPr>
      <w:rFonts w:ascii="Times New Roman" w:hAnsi="Times New Roman" w:eastAsia="宋体" w:cs="Times New Roman"/>
    </w:rPr>
  </w:style>
  <w:style w:type="paragraph" w:styleId="3">
    <w:name w:val="Body Text"/>
    <w:basedOn w:val="1"/>
    <w:link w:val="14"/>
    <w:qFormat/>
    <w:uiPriority w:val="99"/>
    <w:pPr>
      <w:spacing w:after="120"/>
    </w:pPr>
    <w:rPr>
      <w:rFonts w:ascii="Times New Roman" w:hAnsi="Times New Roman" w:eastAsia="宋体" w:cs="Times New Roman"/>
    </w:rPr>
  </w:style>
  <w:style w:type="paragraph" w:styleId="4">
    <w:name w:val="Balloon Text"/>
    <w:basedOn w:val="1"/>
    <w:link w:val="16"/>
    <w:unhideWhenUsed/>
    <w:qFormat/>
    <w:uiPriority w:val="99"/>
    <w:pPr>
      <w:spacing w:before="0" w:after="0" w:line="240" w:lineRule="auto"/>
    </w:pPr>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2"/>
    <w:next w:val="2"/>
    <w:link w:val="15"/>
    <w:unhideWhenUsed/>
    <w:qFormat/>
    <w:uiPriority w:val="99"/>
    <w:rPr>
      <w:rFonts w:ascii="Calibri" w:hAnsi="Calibri" w:eastAsia="仿宋_GB2312" w:cs="Calibri"/>
      <w:b/>
      <w:bCs/>
    </w:rPr>
  </w:style>
  <w:style w:type="character" w:styleId="10">
    <w:name w:val="annotation reference"/>
    <w:basedOn w:val="9"/>
    <w:unhideWhenUsed/>
    <w:qFormat/>
    <w:uiPriority w:val="99"/>
    <w:rPr>
      <w:sz w:val="21"/>
      <w:szCs w:val="21"/>
    </w:rPr>
  </w:style>
  <w:style w:type="character" w:customStyle="1" w:styleId="11">
    <w:name w:val="页眉 字符"/>
    <w:basedOn w:val="9"/>
    <w:link w:val="6"/>
    <w:qFormat/>
    <w:uiPriority w:val="99"/>
    <w:rPr>
      <w:sz w:val="18"/>
      <w:szCs w:val="18"/>
    </w:rPr>
  </w:style>
  <w:style w:type="character" w:customStyle="1" w:styleId="12">
    <w:name w:val="页脚 字符"/>
    <w:basedOn w:val="9"/>
    <w:link w:val="5"/>
    <w:qFormat/>
    <w:uiPriority w:val="99"/>
    <w:rPr>
      <w:sz w:val="18"/>
      <w:szCs w:val="18"/>
    </w:rPr>
  </w:style>
  <w:style w:type="character" w:customStyle="1" w:styleId="13">
    <w:name w:val="批注文字 字符"/>
    <w:basedOn w:val="9"/>
    <w:link w:val="2"/>
    <w:semiHidden/>
    <w:qFormat/>
    <w:uiPriority w:val="99"/>
    <w:rPr>
      <w:rFonts w:ascii="Times New Roman" w:hAnsi="Times New Roman" w:eastAsia="宋体" w:cs="Times New Roman"/>
      <w:sz w:val="24"/>
      <w:szCs w:val="24"/>
    </w:rPr>
  </w:style>
  <w:style w:type="character" w:customStyle="1" w:styleId="14">
    <w:name w:val="正文文本 字符"/>
    <w:basedOn w:val="9"/>
    <w:link w:val="3"/>
    <w:qFormat/>
    <w:uiPriority w:val="99"/>
    <w:rPr>
      <w:rFonts w:ascii="Times New Roman" w:hAnsi="Times New Roman" w:eastAsia="宋体" w:cs="Times New Roman"/>
      <w:sz w:val="24"/>
      <w:szCs w:val="24"/>
    </w:rPr>
  </w:style>
  <w:style w:type="character" w:customStyle="1" w:styleId="15">
    <w:name w:val="批注主题 字符"/>
    <w:basedOn w:val="13"/>
    <w:link w:val="7"/>
    <w:semiHidden/>
    <w:qFormat/>
    <w:uiPriority w:val="99"/>
    <w:rPr>
      <w:rFonts w:ascii="Calibri" w:hAnsi="Calibri" w:eastAsia="仿宋_GB2312" w:cs="Calibri"/>
      <w:b/>
      <w:bCs/>
      <w:sz w:val="24"/>
      <w:szCs w:val="24"/>
    </w:rPr>
  </w:style>
  <w:style w:type="character" w:customStyle="1" w:styleId="16">
    <w:name w:val="批注框文本 字符"/>
    <w:basedOn w:val="9"/>
    <w:link w:val="4"/>
    <w:semiHidden/>
    <w:qFormat/>
    <w:uiPriority w:val="99"/>
    <w:rPr>
      <w:rFonts w:ascii="Calibri" w:hAnsi="Calibri" w:eastAsia="仿宋_GB2312" w:cs="Calibri"/>
      <w:sz w:val="18"/>
      <w:szCs w:val="18"/>
    </w:rPr>
  </w:style>
  <w:style w:type="paragraph" w:customStyle="1" w:styleId="17">
    <w:name w:val="列出段落1"/>
    <w:basedOn w:val="1"/>
    <w:qFormat/>
    <w:uiPriority w:val="34"/>
    <w:pPr>
      <w:spacing w:before="0" w:after="0" w:line="240" w:lineRule="auto"/>
      <w:ind w:firstLine="420" w:firstLineChars="200"/>
    </w:pPr>
    <w:rPr>
      <w:rFonts w:asciiTheme="minorHAnsi" w:hAnsiTheme="minorHAnsi" w:eastAsiaTheme="minorEastAsia" w:cstheme="minorBidi"/>
      <w:sz w:val="21"/>
      <w:szCs w:val="22"/>
    </w:rPr>
  </w:style>
  <w:style w:type="paragraph" w:customStyle="1" w:styleId="18">
    <w:name w:val="Revision"/>
    <w:hidden/>
    <w:semiHidden/>
    <w:qFormat/>
    <w:uiPriority w:val="99"/>
    <w:rPr>
      <w:rFonts w:ascii="Calibri" w:hAnsi="Calibri" w:eastAsia="仿宋_GB2312" w:cs="Calibri"/>
      <w:kern w:val="2"/>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11</Pages>
  <Words>9007</Words>
  <Characters>9021</Characters>
  <Lines>71</Lines>
  <Paragraphs>20</Paragraphs>
  <TotalTime>1</TotalTime>
  <ScaleCrop>false</ScaleCrop>
  <LinksUpToDate>false</LinksUpToDate>
  <CharactersWithSpaces>9954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2022-09-26T06:38:00Z</dcterms:created>
  <dc:creator>李艺</dc:creator>
  <cp:lastModifiedBy>林淑燕</cp:lastModifiedBy>
  <cp:lastPrinted>2017-11-29T17:44:00Z</cp:lastPrinted>
  <dcterms:modified xsi:type="dcterms:W3CDTF">2026-10-08T02:47:05Z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9FDD55BA22B44AB8B6294276F532057A_12</vt:lpwstr>
  </property>
  <property fmtid="{D5CDD505-2E9C-101B-9397-08002B2CF9AE}" pid="4" name="KSOTemplateDocerSaveRecord">
    <vt:lpwstr>eyJoZGlkIjoiMzc4MTBmYWE0OTVmZDRkMDQyNjIzMTgwMzM1NWQzOTgiLCJ1c2VySWQiOiIxNjU3MTk3MDczIn0=</vt:lpwstr>
  </property>
</Properties>
</file>