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9B36">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14:paraId="20A2226D">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14:paraId="183E2BE4">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bookmarkStart w:id="4" w:name="_GoBack"/>
      <w:bookmarkEnd w:id="4"/>
    </w:p>
    <w:p w14:paraId="28246255">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14:paraId="180418AD">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14:paraId="73530A5C">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14:paraId="415368E3">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14:paraId="4DEC6196">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eastAsia" w:ascii="Calibri" w:hAnsi="Calibri" w:eastAsia="Calibri" w:cs="Calibri"/>
          <w:sz w:val="24"/>
          <w:szCs w:val="24"/>
          <w:u w:val="none"/>
          <w:lang w:val="en-US" w:eastAsia="zh-CN"/>
        </w:rPr>
        <w:t>3</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w:t>
      </w:r>
      <w:r>
        <w:rPr>
          <w:rFonts w:hint="eastAsia" w:ascii="Cambria" w:hAnsi="Cambria" w:eastAsia="宋体" w:cs="Cambria"/>
          <w:sz w:val="24"/>
          <w:lang w:val="en-US" w:eastAsia="zh-CN"/>
        </w:rPr>
        <w:t>的现状及</w:t>
      </w:r>
      <w:r>
        <w:rPr>
          <w:rFonts w:hint="eastAsia" w:ascii="Cambria" w:hAnsi="Cambria" w:eastAsia="宋体" w:cs="Cambria"/>
          <w:sz w:val="24"/>
        </w:rPr>
        <w:t>其周围环境</w:t>
      </w:r>
      <w:r>
        <w:rPr>
          <w:rFonts w:hint="default" w:ascii="Calibri" w:hAnsi="Calibri" w:eastAsia="Calibri" w:cs="Calibri"/>
          <w:sz w:val="24"/>
        </w:rPr>
        <w:t>进行实地</w:t>
      </w:r>
      <w:r>
        <w:rPr>
          <w:rFonts w:hint="eastAsia" w:ascii="宋体" w:hAnsi="宋体"/>
          <w:sz w:val="24"/>
          <w:szCs w:val="24"/>
        </w:rPr>
        <w:t>勘察</w:t>
      </w:r>
      <w:r>
        <w:rPr>
          <w:rFonts w:hint="default" w:ascii="Calibri" w:hAnsi="Calibri" w:eastAsia="Calibri" w:cs="Calibri"/>
          <w:sz w:val="24"/>
        </w:rPr>
        <w:t>，对按照现状租赁无异议。</w:t>
      </w:r>
    </w:p>
    <w:p w14:paraId="08D35F06">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14:paraId="42083818">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14:paraId="57839B27">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14:paraId="118F344D">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14:paraId="43066FCA">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14:paraId="5D79B893">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14:paraId="436C16D9">
      <w:pPr>
        <w:pStyle w:val="14"/>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14:paraId="78FF7AD3">
      <w:pPr>
        <w:pStyle w:val="14"/>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14:paraId="4E581B09">
      <w:pPr>
        <w:pStyle w:val="14"/>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14:paraId="25E8FA90">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14:paraId="6D59E50D">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14:paraId="26571D62">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14:paraId="2967A636">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14:paraId="2BF9C685">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全额缴纳保证金，则甲方有权解除本合同，并没收乙方已缴交的合同保证金。合同期内，未经甲方同意，乙方不得用合同保证金抵偿使用费或其他应付款；甲方同意抵偿的，乙方应在抵偿之日起3个工作日内补足合同保证金。</w:t>
      </w:r>
    </w:p>
    <w:p w14:paraId="2FB6744B">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w:t>
      </w:r>
      <w:r>
        <w:rPr>
          <w:rFonts w:hint="eastAsia" w:ascii="Cambria" w:hAnsi="Cambria" w:eastAsia="宋体" w:cs="Cambria"/>
          <w:spacing w:val="0"/>
          <w:sz w:val="24"/>
          <w:lang w:val="en-US" w:eastAsia="zh-CN"/>
        </w:rPr>
        <w:t>的</w:t>
      </w:r>
      <w:r>
        <w:rPr>
          <w:rFonts w:hint="default" w:ascii="Cambria" w:hAnsi="Cambria" w:eastAsia="Calibri" w:cs="Cambria"/>
          <w:spacing w:val="0"/>
          <w:sz w:val="24"/>
        </w:rPr>
        <w:t>费用</w:t>
      </w:r>
      <w:r>
        <w:rPr>
          <w:rFonts w:hint="eastAsia" w:ascii="Cambria" w:hAnsi="Cambria" w:eastAsia="宋体" w:cs="Cambria"/>
          <w:spacing w:val="0"/>
          <w:sz w:val="24"/>
          <w:lang w:eastAsia="zh-CN"/>
        </w:rPr>
        <w:t>，</w:t>
      </w:r>
      <w:r>
        <w:rPr>
          <w:rFonts w:hint="eastAsia" w:ascii="Cambria" w:hAnsi="Cambria" w:eastAsia="宋体" w:cs="Cambria"/>
          <w:spacing w:val="0"/>
          <w:sz w:val="24"/>
          <w:lang w:val="en-US" w:eastAsia="zh-CN"/>
        </w:rPr>
        <w:t>并</w:t>
      </w:r>
      <w:r>
        <w:rPr>
          <w:rFonts w:hint="default" w:ascii="Cambria" w:hAnsi="Cambria" w:eastAsia="Calibri" w:cs="Cambria"/>
          <w:spacing w:val="0"/>
          <w:sz w:val="24"/>
        </w:rPr>
        <w:t>按约办理完租赁场所的交接手续</w:t>
      </w:r>
      <w:r>
        <w:rPr>
          <w:rFonts w:hint="eastAsia" w:ascii="Cambria" w:hAnsi="Cambria" w:eastAsia="Calibri" w:cs="Cambria"/>
          <w:spacing w:val="18"/>
          <w:sz w:val="24"/>
        </w:rPr>
        <w:t>，同时完成租赁场所内所有证照的注销或迁出</w:t>
      </w:r>
      <w:r>
        <w:rPr>
          <w:rFonts w:hint="default" w:ascii="Cambria" w:hAnsi="Cambria" w:eastAsia="Calibri" w:cs="Cambria"/>
          <w:spacing w:val="0"/>
          <w:sz w:val="24"/>
        </w:rPr>
        <w:t>后，甲方在10个工作日内将合同保证金余额无息返还乙方。</w:t>
      </w:r>
    </w:p>
    <w:p w14:paraId="241B4245">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全额缴纳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14:paraId="1C0E1EA8">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14:paraId="5CD5A70E">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14:paraId="2A9F66D1">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14:paraId="245B6795">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14:paraId="1ACF035B">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r>
        <w:rPr>
          <w:rFonts w:hint="eastAsia" w:ascii="Cambria" w:hAnsi="Cambria" w:eastAsia="Calibri" w:cs="Cambria"/>
          <w:sz w:val="24"/>
        </w:rPr>
        <w:t>乙方应于本合同终止或解除之日起壹个月内，将注册于该租赁场所的营业执照等相关证照注销或迁出，并将相应证明材料提交甲方。</w:t>
      </w:r>
    </w:p>
    <w:p w14:paraId="5F966F73">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14:paraId="6C0A68A9">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14:paraId="6D459AD2">
      <w:pPr>
        <w:pStyle w:val="14"/>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14:paraId="3AC92985">
      <w:pPr>
        <w:pStyle w:val="14"/>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14:paraId="58A8B97D">
      <w:pPr>
        <w:pStyle w:val="14"/>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14:paraId="2019408C">
      <w:pPr>
        <w:pStyle w:val="14"/>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14:paraId="4924C2CC">
      <w:pPr>
        <w:pStyle w:val="14"/>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14:paraId="06EAB178">
      <w:pPr>
        <w:pStyle w:val="14"/>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14:paraId="3FBF0291">
      <w:pPr>
        <w:pStyle w:val="14"/>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14:paraId="325C1FB6">
      <w:pPr>
        <w:spacing w:beforeLines="100" w:line="480" w:lineRule="exact"/>
        <w:rPr>
          <w:rFonts w:ascii="Cambria" w:hAnsi="Cambria" w:eastAsia="Calibri" w:cs="Cambria"/>
          <w:sz w:val="24"/>
        </w:rPr>
      </w:pPr>
      <w:r>
        <w:rPr>
          <w:rFonts w:ascii="Cambria" w:hAnsi="Cambria" w:eastAsia="Calibri" w:cs="Cambria"/>
          <w:b/>
          <w:sz w:val="24"/>
        </w:rPr>
        <w:t>第七条  不可抗力</w:t>
      </w:r>
    </w:p>
    <w:p w14:paraId="63D88BAD">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14:paraId="7DB89A44">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14:paraId="0D6F252C">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14:paraId="52F89FE8">
      <w:pPr>
        <w:numPr>
          <w:ilvl w:val="-1"/>
          <w:numId w:val="0"/>
        </w:numPr>
        <w:spacing w:line="480" w:lineRule="exact"/>
        <w:ind w:firstLine="480" w:firstLineChars="200"/>
        <w:rPr>
          <w:rFonts w:hint="default" w:ascii="Cambria" w:hAnsi="Cambria" w:eastAsia="Calibri" w:cs="Cambria"/>
          <w:sz w:val="24"/>
          <w:lang w:eastAsia="zh-CN"/>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mbria" w:hAnsi="Cambria" w:eastAsia="Calibri" w:cs="Cambria"/>
          <w:sz w:val="24"/>
        </w:rPr>
        <w:t>甲方负责包括但不限于乙方所租房屋外墙</w:t>
      </w:r>
      <w:r>
        <w:rPr>
          <w:rFonts w:hint="eastAsia" w:ascii="Cambria" w:hAnsi="Cambria" w:eastAsia="宋体" w:cs="Cambria"/>
          <w:b w:val="0"/>
          <w:bCs w:val="0"/>
          <w:sz w:val="24"/>
          <w:lang w:eastAsia="zh-CN"/>
        </w:rPr>
        <w:t>（</w:t>
      </w:r>
      <w:r>
        <w:rPr>
          <w:rFonts w:hint="eastAsia" w:ascii="Cambria" w:hAnsi="Cambria" w:eastAsia="宋体" w:cs="Cambria"/>
          <w:b w:val="0"/>
          <w:bCs w:val="0"/>
          <w:sz w:val="24"/>
          <w:lang w:val="en-US" w:eastAsia="zh-CN"/>
        </w:rPr>
        <w:t>不包含外墙石材幕墙上部渗漏水问题）</w:t>
      </w:r>
      <w:r>
        <w:rPr>
          <w:rFonts w:hint="default" w:ascii="Cambria" w:hAnsi="Cambria" w:eastAsia="Calibri" w:cs="Cambria"/>
          <w:sz w:val="24"/>
        </w:rPr>
        <w:t>、配套使用</w:t>
      </w:r>
      <w:r>
        <w:rPr>
          <w:rFonts w:hint="default" w:ascii="Cambria" w:hAnsi="Cambria" w:eastAsia="Calibri" w:cs="Cambria"/>
          <w:sz w:val="24"/>
          <w:lang w:val="en-US" w:eastAsia="zh-CN"/>
        </w:rPr>
        <w:t>公共</w:t>
      </w:r>
      <w:r>
        <w:rPr>
          <w:rFonts w:hint="default" w:ascii="Cambria" w:hAnsi="Cambria" w:eastAsia="Calibri" w:cs="Cambria"/>
          <w:sz w:val="24"/>
        </w:rPr>
        <w:t>卫生间、室外广场、所在楼层公共走道等公共部</w:t>
      </w:r>
      <w:r>
        <w:rPr>
          <w:rFonts w:hint="default" w:ascii="Cambria" w:hAnsi="Cambria" w:eastAsia="Calibri" w:cs="Cambria"/>
          <w:sz w:val="24"/>
          <w:lang w:val="en-US" w:eastAsia="zh-CN"/>
        </w:rPr>
        <w:t>分</w:t>
      </w:r>
      <w:r>
        <w:rPr>
          <w:rFonts w:hint="default" w:ascii="Cambria" w:hAnsi="Cambria" w:eastAsia="Calibri" w:cs="Cambria"/>
          <w:sz w:val="24"/>
        </w:rPr>
        <w:t>的卫生管理、安全管理及乙方日常产生的垃圾清运（仅含办公、生活垃圾清运，不含装修垃圾</w:t>
      </w:r>
      <w:r>
        <w:rPr>
          <w:rFonts w:hint="eastAsia" w:ascii="Cambria" w:hAnsi="Cambria" w:eastAsia="宋体" w:cs="Cambria"/>
          <w:sz w:val="24"/>
          <w:lang w:val="en-US" w:eastAsia="zh-CN"/>
        </w:rPr>
        <w:t>及</w:t>
      </w:r>
      <w:r>
        <w:rPr>
          <w:rFonts w:hint="default" w:ascii="Cambria" w:hAnsi="Cambria" w:eastAsia="Calibri" w:cs="Cambria"/>
          <w:sz w:val="24"/>
        </w:rPr>
        <w:t>因经营产生的额外垃圾）。</w:t>
      </w:r>
    </w:p>
    <w:p w14:paraId="4F4E11DC">
      <w:pPr>
        <w:numPr>
          <w:ilvl w:val="0"/>
          <w:numId w:val="2"/>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14:paraId="3BAE2780">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14:paraId="18E2A08C">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14:paraId="4C923BB9">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w:t>
      </w:r>
      <w:r>
        <w:rPr>
          <w:rFonts w:hint="eastAsia" w:ascii="Cambria" w:hAnsi="Cambria" w:eastAsia="宋体" w:cs="Cambria"/>
          <w:sz w:val="24"/>
          <w:lang w:val="en-US" w:eastAsia="zh-CN"/>
        </w:rPr>
        <w:t>与</w:t>
      </w:r>
      <w:r>
        <w:rPr>
          <w:rFonts w:ascii="Cambria" w:hAnsi="Cambria" w:eastAsia="Calibri" w:cs="Cambria"/>
          <w:sz w:val="24"/>
        </w:rPr>
        <w:t>《</w:t>
      </w:r>
      <w:r>
        <w:rPr>
          <w:rFonts w:hint="eastAsia" w:ascii="Cambria" w:hAnsi="Cambria" w:eastAsia="Calibri" w:cs="Cambria"/>
          <w:sz w:val="24"/>
        </w:rPr>
        <w:t>消防管理责任界定协议书</w:t>
      </w:r>
      <w:r>
        <w:rPr>
          <w:rFonts w:ascii="Cambria" w:hAnsi="Cambria" w:eastAsia="Calibri" w:cs="Cambria"/>
          <w:sz w:val="24"/>
        </w:rPr>
        <w:t>》，</w:t>
      </w:r>
      <w:r>
        <w:rPr>
          <w:rFonts w:hint="eastAsia" w:ascii="Cambria" w:hAnsi="Cambria" w:eastAsia="宋体" w:cs="Cambria"/>
          <w:sz w:val="24"/>
          <w:lang w:val="en-US" w:eastAsia="zh-CN"/>
        </w:rPr>
        <w:t>分别</w:t>
      </w:r>
      <w:r>
        <w:rPr>
          <w:rFonts w:ascii="Cambria" w:hAnsi="Cambria" w:eastAsia="Calibri" w:cs="Cambria"/>
          <w:sz w:val="24"/>
        </w:rPr>
        <w:t>作为本合同附件</w:t>
      </w:r>
      <w:r>
        <w:rPr>
          <w:rFonts w:hint="eastAsia" w:ascii="Cambria" w:hAnsi="Cambria" w:eastAsia="宋体" w:cs="Cambria"/>
          <w:sz w:val="24"/>
          <w:lang w:val="en-US" w:eastAsia="zh-CN"/>
        </w:rPr>
        <w:t>1</w:t>
      </w:r>
      <w:r>
        <w:rPr>
          <w:rFonts w:hint="eastAsia" w:ascii="Cambria" w:hAnsi="Cambria" w:cs="Cambria"/>
          <w:sz w:val="24"/>
          <w:lang w:val="en-US" w:eastAsia="zh-CN"/>
        </w:rPr>
        <w:t>、</w:t>
      </w:r>
      <w:r>
        <w:rPr>
          <w:rFonts w:ascii="Cambria" w:hAnsi="Cambria" w:eastAsia="Calibri" w:cs="Cambria"/>
          <w:sz w:val="24"/>
        </w:rPr>
        <w:t>附件</w:t>
      </w:r>
      <w:r>
        <w:rPr>
          <w:rFonts w:hint="eastAsia" w:ascii="Cambria" w:hAnsi="Cambria" w:cs="Cambria"/>
          <w:sz w:val="24"/>
          <w:lang w:val="en-US" w:eastAsia="zh-CN"/>
        </w:rPr>
        <w:t>2</w:t>
      </w:r>
      <w:r>
        <w:rPr>
          <w:rFonts w:ascii="Cambria" w:hAnsi="Cambria" w:eastAsia="Calibri" w:cs="Cambria"/>
          <w:sz w:val="24"/>
        </w:rPr>
        <w:t>。</w:t>
      </w:r>
    </w:p>
    <w:p w14:paraId="0E205510">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14:paraId="7FB9F6D8">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14:paraId="5F869C1B">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14:paraId="21027379">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14:paraId="28EE383A">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14:paraId="2F7A6729">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14:paraId="70244B25">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14:paraId="2CC2FBA8">
      <w:pPr>
        <w:spacing w:line="480" w:lineRule="exact"/>
        <w:rPr>
          <w:rFonts w:hint="eastAsia" w:ascii="Cambria" w:hAnsi="Cambria" w:cs="Cambria"/>
          <w:sz w:val="24"/>
          <w:lang w:eastAsia="zh-CN"/>
        </w:rPr>
      </w:pPr>
    </w:p>
    <w:p w14:paraId="07F572E0">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14:paraId="6F4A941E">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14:paraId="47E83328">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14:paraId="6445A9A2">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14:paraId="2D604870">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14:paraId="24E3C29C">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电  话：</w:t>
      </w:r>
    </w:p>
    <w:p w14:paraId="370E86B2">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hint="eastAsia" w:ascii="Cambria" w:hAnsi="Cambria" w:eastAsia="宋体" w:cs="Cambria"/>
          <w:sz w:val="24"/>
          <w:lang w:val="en-US" w:eastAsia="zh-CN"/>
        </w:rPr>
        <w:t>邮  箱：</w:t>
      </w:r>
      <w:r>
        <w:rPr>
          <w:rFonts w:ascii="Cambria" w:hAnsi="Cambria" w:eastAsia="Calibri" w:cs="Cambria"/>
          <w:sz w:val="24"/>
        </w:rPr>
        <w:t xml:space="preserve">                                            </w:t>
      </w:r>
      <w:r>
        <w:rPr>
          <w:rFonts w:hint="eastAsia" w:ascii="Cambria" w:hAnsi="Cambria" w:eastAsia="宋体" w:cs="Cambria"/>
          <w:sz w:val="24"/>
          <w:lang w:val="en-US" w:eastAsia="zh-CN"/>
        </w:rPr>
        <w:t xml:space="preserve">                             邮</w:t>
      </w:r>
      <w:r>
        <w:rPr>
          <w:rFonts w:hint="eastAsia" w:ascii="Cambria" w:hAnsi="Cambria" w:cs="Cambria"/>
          <w:sz w:val="24"/>
          <w:lang w:val="en-US" w:eastAsia="zh-CN"/>
        </w:rPr>
        <w:t xml:space="preserve">  </w:t>
      </w:r>
      <w:r>
        <w:rPr>
          <w:rFonts w:hint="eastAsia" w:ascii="Cambria" w:hAnsi="Cambria" w:eastAsia="宋体" w:cs="Cambria"/>
          <w:sz w:val="24"/>
          <w:lang w:val="en-US" w:eastAsia="zh-CN"/>
        </w:rPr>
        <w:t>箱：</w:t>
      </w:r>
      <w:r>
        <w:rPr>
          <w:rFonts w:ascii="Cambria" w:hAnsi="Cambria" w:eastAsia="Calibri" w:cs="Cambria"/>
          <w:sz w:val="24"/>
        </w:rPr>
        <w:t xml:space="preserve">                                            </w:t>
      </w:r>
    </w:p>
    <w:p w14:paraId="667A167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14:paraId="190D43CF">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14:paraId="24981F7D">
      <w:pPr>
        <w:spacing w:line="480" w:lineRule="exact"/>
        <w:ind w:firstLine="480" w:firstLineChars="200"/>
        <w:rPr>
          <w:rFonts w:ascii="Cambria" w:hAnsi="Cambria" w:eastAsia="Calibri" w:cs="Cambria"/>
          <w:sz w:val="24"/>
        </w:rPr>
      </w:pPr>
    </w:p>
    <w:p w14:paraId="12DDD374">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14:paraId="2F5B204D">
      <w:pPr>
        <w:spacing w:line="480" w:lineRule="exact"/>
        <w:ind w:firstLine="1262" w:firstLineChars="526"/>
        <w:rPr>
          <w:rFonts w:hint="eastAsia" w:ascii="Cambria" w:hAnsi="Cambria" w:eastAsia="宋体" w:cs="Cambria"/>
          <w:sz w:val="24"/>
          <w:lang w:val="en-US" w:eastAsia="zh-CN"/>
        </w:rPr>
      </w:pPr>
      <w:r>
        <w:rPr>
          <w:rFonts w:hint="default" w:ascii="Cambria" w:hAnsi="Cambria" w:eastAsia="Calibri" w:cs="Cambria"/>
          <w:sz w:val="24"/>
          <w:lang w:val="en-US" w:eastAsia="zh-CN"/>
        </w:rPr>
        <w:t>2.</w:t>
      </w:r>
      <w:r>
        <w:rPr>
          <w:rFonts w:hint="eastAsia" w:ascii="Cambria" w:hAnsi="Cambria" w:eastAsia="Calibri" w:cs="Cambria"/>
          <w:sz w:val="24"/>
          <w:lang w:val="en-US" w:eastAsia="zh-CN"/>
        </w:rPr>
        <w:t>《</w:t>
      </w:r>
      <w:r>
        <w:rPr>
          <w:rFonts w:hint="default" w:ascii="Cambria" w:hAnsi="Cambria" w:eastAsia="Calibri" w:cs="Cambria"/>
          <w:sz w:val="24"/>
        </w:rPr>
        <w:t>消防安全管理责任界定协议书</w:t>
      </w:r>
      <w:r>
        <w:rPr>
          <w:rFonts w:hint="eastAsia" w:ascii="Cambria" w:hAnsi="Cambria" w:eastAsia="宋体" w:cs="Cambria"/>
          <w:sz w:val="24"/>
          <w:lang w:eastAsia="zh-CN"/>
        </w:rPr>
        <w:t>》</w:t>
      </w:r>
    </w:p>
    <w:p w14:paraId="33E39ECE">
      <w:pPr>
        <w:spacing w:line="480" w:lineRule="exact"/>
        <w:ind w:firstLine="1262" w:firstLineChars="526"/>
        <w:rPr>
          <w:rFonts w:hint="default" w:ascii="Cambria" w:hAnsi="Cambria" w:eastAsia="Calibri" w:cs="Cambria"/>
          <w:sz w:val="24"/>
          <w:lang w:val="en-US" w:eastAsia="zh-CN"/>
        </w:rPr>
      </w:pPr>
      <w:r>
        <w:rPr>
          <w:rFonts w:hint="eastAsia" w:ascii="Cambria" w:hAnsi="Cambria" w:eastAsia="Calibri" w:cs="Cambria"/>
          <w:sz w:val="24"/>
          <w:lang w:val="en-US" w:eastAsia="zh-CN"/>
        </w:rPr>
        <w:t>3.</w:t>
      </w:r>
      <w:r>
        <w:rPr>
          <w:rFonts w:hint="default" w:ascii="Cambria" w:hAnsi="Cambria" w:eastAsia="Calibri" w:cs="Cambria"/>
          <w:sz w:val="24"/>
          <w:lang w:val="en-US" w:eastAsia="zh-CN"/>
        </w:rPr>
        <w:t>《租赁标的平面示意图》</w:t>
      </w:r>
    </w:p>
    <w:p w14:paraId="59BA0B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51913BB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53C0A59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2FB5F8D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3" w:name="OLE_LINK2"/>
    </w:p>
    <w:p w14:paraId="35E3468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67D08E9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54D8690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44D2A2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20426D3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14:paraId="2765BCD3">
      <w:pPr>
        <w:pStyle w:val="2"/>
        <w:rPr>
          <w:rFonts w:hint="default"/>
        </w:rPr>
      </w:pPr>
    </w:p>
    <w:p w14:paraId="2289F5FC">
      <w:pPr>
        <w:pStyle w:val="2"/>
        <w:rPr>
          <w:rFonts w:hint="default"/>
        </w:rPr>
      </w:pPr>
    </w:p>
    <w:p w14:paraId="10815223">
      <w:pPr>
        <w:pStyle w:val="2"/>
        <w:rPr>
          <w:rFonts w:hint="default"/>
        </w:rPr>
      </w:pPr>
    </w:p>
    <w:p w14:paraId="3B295CAF">
      <w:pPr>
        <w:pStyle w:val="2"/>
        <w:rPr>
          <w:rFonts w:hint="default"/>
        </w:rPr>
      </w:pPr>
    </w:p>
    <w:p w14:paraId="0A8633D1">
      <w:pPr>
        <w:pStyle w:val="2"/>
        <w:rPr>
          <w:rFonts w:hint="default"/>
        </w:rPr>
      </w:pPr>
    </w:p>
    <w:p w14:paraId="565FB69D">
      <w:pPr>
        <w:pStyle w:val="2"/>
        <w:rPr>
          <w:rFonts w:hint="default"/>
        </w:rPr>
      </w:pPr>
    </w:p>
    <w:p w14:paraId="2C363517">
      <w:pPr>
        <w:pStyle w:val="2"/>
        <w:rPr>
          <w:rFonts w:hint="default"/>
        </w:rPr>
      </w:pPr>
    </w:p>
    <w:p w14:paraId="1299625F">
      <w:pPr>
        <w:pStyle w:val="2"/>
        <w:rPr>
          <w:rFonts w:hint="default"/>
        </w:rPr>
      </w:pPr>
    </w:p>
    <w:p w14:paraId="3979D278">
      <w:pPr>
        <w:pStyle w:val="2"/>
        <w:rPr>
          <w:rFonts w:hint="default"/>
        </w:rPr>
      </w:pPr>
    </w:p>
    <w:p w14:paraId="1C326D9A">
      <w:pPr>
        <w:pStyle w:val="2"/>
        <w:rPr>
          <w:rFonts w:hint="default"/>
        </w:rPr>
      </w:pPr>
    </w:p>
    <w:p w14:paraId="64F5284D">
      <w:pPr>
        <w:pStyle w:val="2"/>
        <w:rPr>
          <w:rFonts w:hint="default"/>
        </w:rPr>
      </w:pPr>
    </w:p>
    <w:p w14:paraId="34FC7DB2">
      <w:pPr>
        <w:pStyle w:val="2"/>
        <w:rPr>
          <w:rFonts w:hint="default"/>
        </w:rPr>
      </w:pPr>
    </w:p>
    <w:p w14:paraId="2FB36CE8">
      <w:pPr>
        <w:pStyle w:val="2"/>
        <w:rPr>
          <w:rFonts w:hint="default"/>
        </w:rPr>
      </w:pPr>
    </w:p>
    <w:p w14:paraId="74DE9C98">
      <w:pPr>
        <w:pStyle w:val="2"/>
        <w:rPr>
          <w:rFonts w:hint="default"/>
        </w:rPr>
      </w:pPr>
    </w:p>
    <w:p w14:paraId="4C754137">
      <w:pPr>
        <w:pStyle w:val="2"/>
        <w:rPr>
          <w:rFonts w:hint="default"/>
        </w:rPr>
      </w:pPr>
    </w:p>
    <w:p w14:paraId="3C2BFC03">
      <w:pPr>
        <w:pStyle w:val="2"/>
        <w:rPr>
          <w:rFonts w:hint="default"/>
        </w:rPr>
      </w:pPr>
    </w:p>
    <w:p w14:paraId="391F72BE">
      <w:pPr>
        <w:pStyle w:val="2"/>
        <w:rPr>
          <w:rFonts w:hint="default"/>
        </w:rPr>
      </w:pPr>
    </w:p>
    <w:p w14:paraId="141F4438">
      <w:pPr>
        <w:pStyle w:val="2"/>
        <w:rPr>
          <w:rFonts w:hint="default"/>
        </w:rPr>
      </w:pPr>
    </w:p>
    <w:p w14:paraId="33020CD0">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14:paraId="5CE1340E">
      <w:pPr>
        <w:pStyle w:val="8"/>
        <w:rPr>
          <w:rFonts w:hint="default" w:ascii="Calibri" w:hAnsi="Calibri" w:cs="Calibri"/>
          <w:b/>
          <w:sz w:val="24"/>
          <w:szCs w:val="24"/>
        </w:rPr>
      </w:pPr>
    </w:p>
    <w:p w14:paraId="484F6FA0">
      <w:pPr>
        <w:keepNext w:val="0"/>
        <w:keepLines w:val="0"/>
        <w:pageBreakBefore w:val="0"/>
        <w:widowControl w:val="0"/>
        <w:kinsoku/>
        <w:wordWrap/>
        <w:overflowPunct/>
        <w:topLinePunct w:val="0"/>
        <w:autoSpaceDE/>
        <w:autoSpaceDN/>
        <w:bidi w:val="0"/>
        <w:adjustRightInd/>
        <w:snapToGrid/>
        <w:spacing w:beforeLines="0" w:line="42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14:paraId="02409B0C">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14:paraId="6902A59B">
      <w:pPr>
        <w:keepNext w:val="0"/>
        <w:keepLines w:val="0"/>
        <w:pageBreakBefore w:val="0"/>
        <w:widowControl w:val="0"/>
        <w:kinsoku/>
        <w:wordWrap/>
        <w:overflowPunct/>
        <w:topLinePunct w:val="0"/>
        <w:autoSpaceDE/>
        <w:autoSpaceDN/>
        <w:bidi w:val="0"/>
        <w:adjustRightInd/>
        <w:snapToGrid/>
        <w:spacing w:beforeLines="0" w:line="42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14:paraId="35F590AD">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14:paraId="3BBC8C18">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14:paraId="09F41F1F">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eastAsiaTheme="minorEastAsia"/>
          <w:sz w:val="24"/>
          <w:u w:val="single"/>
        </w:rPr>
      </w:pPr>
    </w:p>
    <w:p w14:paraId="711F6099">
      <w:pPr>
        <w:keepNext w:val="0"/>
        <w:keepLines w:val="0"/>
        <w:pageBreakBefore w:val="0"/>
        <w:widowControl w:val="0"/>
        <w:kinsoku/>
        <w:wordWrap/>
        <w:overflowPunct/>
        <w:topLinePunct w:val="0"/>
        <w:autoSpaceDE/>
        <w:autoSpaceDN/>
        <w:bidi w:val="0"/>
        <w:adjustRightInd/>
        <w:snapToGrid/>
        <w:spacing w:beforeLines="0" w:line="42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14:paraId="5542BE54">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一、责任目标</w:t>
      </w:r>
    </w:p>
    <w:p w14:paraId="07180F64">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14:paraId="29B13A79">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14:paraId="20DCD9F1">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14:paraId="5285BF31">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14:paraId="28FD4936">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二、甲方权利和义务</w:t>
      </w:r>
    </w:p>
    <w:p w14:paraId="35CD2FF7">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14:paraId="35A84559">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14:paraId="68A7B29C">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14:paraId="3E69099E">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14:paraId="54CFD909">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14:paraId="0D7B3203">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三、乙方权利和义务</w:t>
      </w:r>
    </w:p>
    <w:p w14:paraId="1D003EB4">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14:paraId="6C2F3323">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14:paraId="4C0CC978">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14:paraId="2B51E0F0">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14:paraId="62D9A4A5">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14:paraId="0599EFAB">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14:paraId="58786A13">
      <w:pPr>
        <w:keepNext w:val="0"/>
        <w:keepLines w:val="0"/>
        <w:pageBreakBefore w:val="0"/>
        <w:widowControl w:val="0"/>
        <w:kinsoku/>
        <w:wordWrap/>
        <w:overflowPunct/>
        <w:topLinePunct w:val="0"/>
        <w:autoSpaceDE/>
        <w:autoSpaceDN/>
        <w:bidi w:val="0"/>
        <w:adjustRightInd/>
        <w:snapToGrid/>
        <w:spacing w:before="0" w:beforeLines="0" w:line="42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14:paraId="7BBDE792">
      <w:pPr>
        <w:keepNext w:val="0"/>
        <w:keepLines w:val="0"/>
        <w:pageBreakBefore w:val="0"/>
        <w:widowControl w:val="0"/>
        <w:kinsoku/>
        <w:wordWrap/>
        <w:overflowPunct/>
        <w:topLinePunct w:val="0"/>
        <w:autoSpaceDE/>
        <w:autoSpaceDN/>
        <w:bidi w:val="0"/>
        <w:adjustRightInd/>
        <w:snapToGrid/>
        <w:spacing w:beforeLines="0" w:line="42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14:paraId="043DA812">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14:paraId="05A267F6">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14:paraId="63C0DB7E">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14:paraId="4182411C">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14:paraId="3456ADE5">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14:paraId="3D6402F7">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14:paraId="232FC3DB">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14:paraId="1A51CF1D">
      <w:pPr>
        <w:keepNext w:val="0"/>
        <w:keepLines w:val="0"/>
        <w:pageBreakBefore w:val="0"/>
        <w:widowControl w:val="0"/>
        <w:kinsoku/>
        <w:wordWrap/>
        <w:overflowPunct/>
        <w:topLinePunct w:val="0"/>
        <w:autoSpaceDE/>
        <w:autoSpaceDN/>
        <w:bidi w:val="0"/>
        <w:adjustRightInd/>
        <w:snapToGrid/>
        <w:spacing w:beforeLines="0" w:line="42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14:paraId="4762E571">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14:paraId="7C5E1A37">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3"/>
    </w:p>
    <w:p w14:paraId="2B5588B9">
      <w:pPr>
        <w:pStyle w:val="2"/>
        <w:spacing w:line="420" w:lineRule="exact"/>
        <w:rPr>
          <w:rFonts w:hint="default" w:ascii="Calibri" w:hAnsi="Calibri" w:cs="Calibri"/>
          <w:sz w:val="24"/>
        </w:rPr>
      </w:pPr>
    </w:p>
    <w:p w14:paraId="1C04BDA0">
      <w:pPr>
        <w:keepNext w:val="0"/>
        <w:keepLines w:val="0"/>
        <w:pageBreakBefore w:val="0"/>
        <w:widowControl w:val="0"/>
        <w:kinsoku/>
        <w:wordWrap/>
        <w:overflowPunct/>
        <w:topLinePunct w:val="0"/>
        <w:autoSpaceDE/>
        <w:autoSpaceDN/>
        <w:bidi w:val="0"/>
        <w:adjustRightInd/>
        <w:snapToGrid/>
        <w:spacing w:beforeLines="0" w:line="4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14:paraId="1EEC4A19">
      <w:pPr>
        <w:widowControl w:val="0"/>
        <w:spacing w:line="4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14:paraId="49E289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499CE3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2AD59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14:paraId="262ED5D1">
      <w:pPr>
        <w:widowControl w:val="0"/>
        <w:spacing w:line="440" w:lineRule="exact"/>
        <w:jc w:val="center"/>
        <w:rPr>
          <w:rFonts w:hint="default" w:ascii="Calibri" w:hAnsi="Calibri" w:eastAsia="宋体" w:cs="Calibri"/>
          <w:b/>
          <w:bCs w:val="0"/>
          <w:i w:val="0"/>
          <w:iCs w:val="0"/>
          <w:caps w:val="0"/>
          <w:spacing w:val="0"/>
          <w:sz w:val="32"/>
          <w:szCs w:val="32"/>
        </w:rPr>
      </w:pPr>
      <w:r>
        <w:rPr>
          <w:rFonts w:hint="default" w:ascii="Calibri" w:hAnsi="Calibri" w:eastAsia="宋体" w:cs="Calibri"/>
          <w:b/>
          <w:bCs w:val="0"/>
          <w:i w:val="0"/>
          <w:iCs w:val="0"/>
          <w:caps w:val="0"/>
          <w:spacing w:val="0"/>
          <w:sz w:val="36"/>
          <w:szCs w:val="36"/>
          <w:shd w:val="clear"/>
        </w:rPr>
        <w:t>消防安全管理责任界定协议书</w:t>
      </w:r>
    </w:p>
    <w:p w14:paraId="406FEECF">
      <w:pPr>
        <w:widowControl w:val="0"/>
        <w:spacing w:beforeLines="0" w:line="420" w:lineRule="exact"/>
        <w:ind w:firstLine="0"/>
        <w:rPr>
          <w:rFonts w:hint="eastAsia" w:ascii="宋体" w:hAnsi="宋体" w:eastAsia="宋体" w:cs="宋体"/>
          <w:i w:val="0"/>
          <w:iCs w:val="0"/>
          <w:caps w:val="0"/>
          <w:spacing w:val="0"/>
          <w:sz w:val="24"/>
          <w:szCs w:val="24"/>
          <w:shd w:val="clear"/>
        </w:rPr>
      </w:pPr>
    </w:p>
    <w:p w14:paraId="26BDCCB7">
      <w:pPr>
        <w:widowControl w:val="0"/>
        <w:spacing w:beforeLines="0" w:line="420" w:lineRule="exact"/>
        <w:ind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甲方：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14:paraId="775A9589">
      <w:pPr>
        <w:widowControl w:val="0"/>
        <w:spacing w:beforeLines="0" w:line="420" w:lineRule="exact"/>
        <w:rPr>
          <w:rFonts w:hint="eastAsia" w:ascii="宋体" w:hAnsi="宋体" w:eastAsia="宋体" w:cs="宋体"/>
          <w:i w:val="0"/>
          <w:iCs w:val="0"/>
          <w:caps w:val="0"/>
          <w:spacing w:val="0"/>
          <w:sz w:val="24"/>
          <w:szCs w:val="24"/>
          <w:shd w:val="clear"/>
        </w:rPr>
      </w:pPr>
    </w:p>
    <w:p w14:paraId="0D4C04F6">
      <w:pPr>
        <w:widowControl w:val="0"/>
        <w:spacing w:beforeLines="0" w:line="420" w:lineRule="exac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rPr>
        <w:t>乙方：</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名称：____________________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法定代表人</w:t>
      </w:r>
      <w:r>
        <w:rPr>
          <w:rFonts w:hint="eastAsia" w:ascii="宋体" w:hAnsi="宋体" w:eastAsia="宋体" w:cs="宋体"/>
          <w:i w:val="0"/>
          <w:iCs w:val="0"/>
          <w:caps w:val="0"/>
          <w:spacing w:val="0"/>
          <w:sz w:val="24"/>
          <w:szCs w:val="24"/>
          <w:shd w:val="clear"/>
          <w:lang w:val="en-US" w:eastAsia="zh-CN"/>
        </w:rPr>
        <w:t>/经办人</w:t>
      </w:r>
      <w:r>
        <w:rPr>
          <w:rFonts w:hint="eastAsia" w:ascii="宋体" w:hAnsi="宋体" w:eastAsia="宋体" w:cs="宋体"/>
          <w:i w:val="0"/>
          <w:iCs w:val="0"/>
          <w:caps w:val="0"/>
          <w:spacing w:val="0"/>
          <w:sz w:val="24"/>
          <w:szCs w:val="24"/>
          <w:shd w:val="clear"/>
        </w:rPr>
        <w:t>：____________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地址：____________________</w:t>
      </w:r>
      <w:r>
        <w:rPr>
          <w:rFonts w:hint="eastAsia" w:ascii="宋体" w:hAnsi="宋体" w:eastAsia="宋体" w:cs="宋体"/>
          <w:i w:val="0"/>
          <w:iCs w:val="0"/>
          <w:caps w:val="0"/>
          <w:spacing w:val="0"/>
          <w:sz w:val="24"/>
          <w:szCs w:val="24"/>
          <w:shd w:val="clear"/>
        </w:rPr>
        <w:br w:type="textWrapping"/>
      </w:r>
      <w:r>
        <w:rPr>
          <w:rFonts w:hint="eastAsia" w:ascii="宋体" w:hAnsi="宋体" w:eastAsia="宋体" w:cs="宋体"/>
          <w:i w:val="0"/>
          <w:iCs w:val="0"/>
          <w:caps w:val="0"/>
          <w:spacing w:val="0"/>
          <w:sz w:val="24"/>
          <w:szCs w:val="24"/>
          <w:shd w:val="clear"/>
        </w:rPr>
        <w:t>联系方式：______________</w:t>
      </w:r>
    </w:p>
    <w:p w14:paraId="62E5B278">
      <w:pPr>
        <w:widowControl w:val="0"/>
        <w:spacing w:beforeLines="0" w:line="420" w:lineRule="exact"/>
        <w:jc w:val="left"/>
        <w:rPr>
          <w:rFonts w:hint="eastAsia" w:ascii="宋体" w:hAnsi="宋体" w:eastAsia="宋体" w:cs="宋体"/>
          <w:kern w:val="1"/>
          <w:sz w:val="24"/>
          <w:szCs w:val="24"/>
          <w:lang w:eastAsia="zh-CN"/>
        </w:rPr>
      </w:pPr>
    </w:p>
    <w:p w14:paraId="5F55FD67">
      <w:pPr>
        <w:widowControl w:val="0"/>
        <w:spacing w:beforeLines="0" w:line="420" w:lineRule="exact"/>
        <w:ind w:left="480" w:hanging="480" w:hangingChars="20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鉴于：</w:t>
      </w:r>
      <w:r>
        <w:rPr>
          <w:rFonts w:hint="eastAsia" w:ascii="宋体" w:hAnsi="宋体" w:eastAsia="宋体" w:cs="宋体"/>
          <w:kern w:val="1"/>
          <w:sz w:val="24"/>
          <w:szCs w:val="24"/>
          <w:lang w:eastAsia="zh-CN"/>
        </w:rPr>
        <w:br w:type="textWrapping"/>
      </w:r>
      <w:r>
        <w:rPr>
          <w:rFonts w:hint="eastAsia" w:ascii="宋体" w:hAnsi="宋体" w:eastAsia="宋体" w:cs="宋体"/>
          <w:kern w:val="1"/>
          <w:sz w:val="24"/>
          <w:szCs w:val="24"/>
          <w:lang w:eastAsia="zh-CN"/>
        </w:rPr>
        <w:t>甲乙双方共同使用/管理位于____________________（详细地址）的场所，为明</w:t>
      </w:r>
    </w:p>
    <w:p w14:paraId="20F52D90">
      <w:pPr>
        <w:widowControl w:val="0"/>
        <w:spacing w:beforeLines="0" w:line="420" w:lineRule="exact"/>
        <w:ind w:left="0" w:firstLine="0" w:firstLineChars="0"/>
        <w:jc w:val="left"/>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确双方在消防安全管理中的责任，根据《中华人民共和国消防法》及相关法律法规，经协商一致，签订本协议。</w:t>
      </w:r>
    </w:p>
    <w:p w14:paraId="1EC5E726">
      <w:pPr>
        <w:keepNext w:val="0"/>
        <w:keepLines w:val="0"/>
        <w:pageBreakBefore w:val="0"/>
        <w:widowControl/>
        <w:numPr>
          <w:ilvl w:val="0"/>
          <w:numId w:val="3"/>
        </w:numPr>
        <w:kinsoku/>
        <w:wordWrap/>
        <w:overflowPunct/>
        <w:topLinePunct w:val="0"/>
        <w:autoSpaceDE/>
        <w:autoSpaceDN/>
        <w:bidi w:val="0"/>
        <w:adjustRightInd/>
        <w:snapToGrid/>
        <w:spacing w:line="480" w:lineRule="exact"/>
        <w:ind w:left="479" w:leftChars="228" w:firstLine="0" w:firstLineChars="0"/>
        <w:jc w:val="left"/>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eastAsia="zh-CN"/>
        </w:rPr>
        <w:t>协议适用范围</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val="en-US" w:eastAsia="zh-CN"/>
        </w:rPr>
        <w:t>本协议适用于乙方使用的场所专有部分及该场所的消防共用部位、共用消防设施</w:t>
      </w:r>
      <w:r>
        <w:rPr>
          <w:rFonts w:hint="eastAsia" w:ascii="宋体" w:hAnsi="宋体" w:cs="宋体"/>
          <w:kern w:val="0"/>
          <w:sz w:val="24"/>
          <w:szCs w:val="24"/>
          <w:lang w:val="en-US" w:eastAsia="zh-CN"/>
        </w:rPr>
        <w:t xml:space="preserve">      </w:t>
      </w:r>
    </w:p>
    <w:p w14:paraId="20C43C23">
      <w:pPr>
        <w:keepNext w:val="0"/>
        <w:keepLines w:val="0"/>
        <w:pageBreakBefore w:val="0"/>
        <w:widowControl/>
        <w:numPr>
          <w:ilvl w:val="-1"/>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（包括但不限于消防车通道、疏散通道、消火栓系统、火灾自动报警系统等）的消防安全管理。</w:t>
      </w:r>
    </w:p>
    <w:p w14:paraId="717E152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第二条 消防安全责任主体与基本原则</w:t>
      </w:r>
    </w:p>
    <w:p w14:paraId="4B59F5E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甲乙双方均为本场所消防安全责任主体，贯彻“预防为主、防消结合”方针，实行消防安全责任制，明确责任边界，协同履行消防安全义务。</w:t>
      </w:r>
    </w:p>
    <w:p w14:paraId="18B40BB7">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甲方作为统一管理单位，负责本场所消防共用部位、共用消防设施的消防安全统一管理，协调、指导乙方做好消防安全工作。</w:t>
      </w:r>
    </w:p>
    <w:p w14:paraId="09E32C5C">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乙方对其</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的专有部分消防安全负责，配合甲方实施消防安全管理。</w:t>
      </w:r>
    </w:p>
    <w:p w14:paraId="1C4B5F55">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第三条 甲方消防安全职责</w:t>
      </w:r>
    </w:p>
    <w:p w14:paraId="15B165C7">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建立并落实本场所统一的消防安全管理制度和操作规程。</w:t>
      </w:r>
    </w:p>
    <w:p w14:paraId="07B610C4">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定期对</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消防安全管理人及相关管理人员开展消防安全培训，确保消防控制室值班人员、自动消防系统操作人员等持证上岗。</w:t>
      </w:r>
    </w:p>
    <w:p w14:paraId="7EA7559D">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所共用消防设施的定期检验、维修、保养和检测，确保设施完好有效，建立消防设施管理档案。</w:t>
      </w:r>
    </w:p>
    <w:p w14:paraId="3053559C">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highlight w:val="none"/>
          <w:lang w:eastAsia="zh-CN"/>
        </w:rPr>
        <w:t>定期向</w:t>
      </w:r>
      <w:r>
        <w:rPr>
          <w:rFonts w:hint="eastAsia" w:ascii="宋体" w:hAnsi="宋体" w:eastAsia="宋体" w:cs="宋体"/>
          <w:kern w:val="0"/>
          <w:sz w:val="24"/>
          <w:szCs w:val="24"/>
          <w:highlight w:val="none"/>
          <w:lang w:val="en-US" w:eastAsia="zh-CN"/>
        </w:rPr>
        <w:t>公司安全生产工作领导小组或安全管理部门</w:t>
      </w:r>
      <w:r>
        <w:rPr>
          <w:rFonts w:hint="eastAsia" w:ascii="宋体" w:hAnsi="宋体" w:eastAsia="宋体" w:cs="宋体"/>
          <w:kern w:val="0"/>
          <w:sz w:val="24"/>
          <w:szCs w:val="24"/>
          <w:highlight w:val="none"/>
          <w:lang w:eastAsia="zh-CN"/>
        </w:rPr>
        <w:t>、使用人通报消防安全情况，提示</w:t>
      </w:r>
      <w:r>
        <w:rPr>
          <w:rFonts w:hint="eastAsia" w:ascii="宋体" w:hAnsi="宋体" w:eastAsia="宋体" w:cs="宋体"/>
          <w:color w:val="auto"/>
          <w:kern w:val="0"/>
          <w:sz w:val="24"/>
          <w:szCs w:val="24"/>
          <w:highlight w:val="none"/>
          <w:lang w:eastAsia="zh-CN"/>
        </w:rPr>
        <w:t>风险，报告重大问题。</w:t>
      </w:r>
    </w:p>
    <w:p w14:paraId="3E164662">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规范</w:t>
      </w:r>
      <w:r>
        <w:rPr>
          <w:rFonts w:hint="eastAsia" w:ascii="宋体" w:hAnsi="宋体" w:eastAsia="宋体" w:cs="宋体"/>
          <w:kern w:val="0"/>
          <w:sz w:val="24"/>
          <w:szCs w:val="24"/>
          <w:lang w:val="en-US" w:eastAsia="zh-CN"/>
        </w:rPr>
        <w:t>嘉庚体育馆</w:t>
      </w:r>
      <w:r>
        <w:rPr>
          <w:rFonts w:hint="eastAsia" w:ascii="宋体" w:hAnsi="宋体" w:eastAsia="宋体" w:cs="宋体"/>
          <w:color w:val="auto"/>
          <w:kern w:val="0"/>
          <w:sz w:val="24"/>
          <w:szCs w:val="24"/>
          <w:lang w:eastAsia="zh-CN"/>
        </w:rPr>
        <w:t>消防控制室值班管理，</w:t>
      </w:r>
      <w:r>
        <w:rPr>
          <w:rFonts w:hint="eastAsia" w:ascii="宋体" w:hAnsi="宋体" w:eastAsia="宋体" w:cs="宋体"/>
          <w:color w:val="auto"/>
          <w:kern w:val="0"/>
          <w:sz w:val="24"/>
          <w:szCs w:val="24"/>
          <w:lang w:val="en-US" w:eastAsia="zh-CN"/>
        </w:rPr>
        <w:t>安排人员24小时值班值守</w:t>
      </w:r>
      <w:r>
        <w:rPr>
          <w:rFonts w:hint="eastAsia" w:ascii="宋体" w:hAnsi="宋体" w:eastAsia="宋体" w:cs="宋体"/>
          <w:color w:val="auto"/>
          <w:kern w:val="0"/>
          <w:sz w:val="24"/>
          <w:szCs w:val="24"/>
          <w:lang w:eastAsia="zh-CN"/>
        </w:rPr>
        <w:t>。</w:t>
      </w:r>
    </w:p>
    <w:p w14:paraId="6BBCA3D8">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第四条 乙方消防安全职责</w:t>
      </w:r>
    </w:p>
    <w:p w14:paraId="098D00DF">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严格遵守消防法律法规、相关规范及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统一的消防安全管理制度，建立并落实自身使用范围内的消防安全管理制度，明确本单位（</w:t>
      </w:r>
      <w:r>
        <w:rPr>
          <w:rFonts w:hint="eastAsia" w:ascii="宋体" w:hAnsi="宋体" w:eastAsia="宋体" w:cs="宋体"/>
          <w:kern w:val="0"/>
          <w:sz w:val="24"/>
          <w:szCs w:val="24"/>
          <w:lang w:val="en-US" w:eastAsia="zh-CN"/>
        </w:rPr>
        <w:t>租赁</w:t>
      </w:r>
      <w:r>
        <w:rPr>
          <w:rFonts w:hint="eastAsia" w:ascii="宋体" w:hAnsi="宋体" w:eastAsia="宋体" w:cs="宋体"/>
          <w:kern w:val="0"/>
          <w:sz w:val="24"/>
          <w:szCs w:val="24"/>
          <w:lang w:eastAsia="zh-CN"/>
        </w:rPr>
        <w:t>场所）的消防安全管理人。</w:t>
      </w:r>
    </w:p>
    <w:p w14:paraId="342F234F">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按照租赁协议载明的用途使用场所，不得擅自变更使用功能、改变防火防烟分区，不得违反消防技术标准使用易燃、可燃装修材料。</w:t>
      </w:r>
    </w:p>
    <w:p w14:paraId="5259AB5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负责维护自身专有部分的消防安全，开展常态化防火自查，及时消除自身引发的火灾隐患。</w:t>
      </w:r>
    </w:p>
    <w:p w14:paraId="3B5C969F">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保障自身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专有部分疏散通道、安全出口畅通，正确使用和维护自身专有部分内的消防设施、器材，不得损坏、挪用、擅自拆除或停用。</w:t>
      </w:r>
    </w:p>
    <w:p w14:paraId="249219E8">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确保自身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范围内电器设备安装、线路敷设、维护保养及检测符合消防技术标准，及时消除电气火灾隐患。</w:t>
      </w:r>
    </w:p>
    <w:p w14:paraId="40D1566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严格</w:t>
      </w:r>
      <w:r>
        <w:rPr>
          <w:rFonts w:hint="eastAsia" w:ascii="宋体" w:hAnsi="宋体" w:eastAsia="宋体" w:cs="宋体"/>
          <w:kern w:val="0"/>
          <w:sz w:val="24"/>
          <w:szCs w:val="24"/>
          <w:lang w:val="en-US" w:eastAsia="zh-CN"/>
        </w:rPr>
        <w:t>限制在</w:t>
      </w:r>
      <w:r>
        <w:rPr>
          <w:rFonts w:hint="eastAsia" w:ascii="宋体" w:hAnsi="宋体" w:eastAsia="宋体" w:cs="宋体"/>
          <w:kern w:val="0"/>
          <w:sz w:val="24"/>
          <w:szCs w:val="24"/>
          <w:lang w:eastAsia="zh-CN"/>
        </w:rPr>
        <w:t>自身</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范围内的动火作业，不得在营业期间动火施工，</w:t>
      </w:r>
      <w:r>
        <w:rPr>
          <w:rFonts w:hint="eastAsia" w:ascii="宋体" w:hAnsi="宋体" w:eastAsia="宋体" w:cs="宋体"/>
          <w:kern w:val="0"/>
          <w:sz w:val="24"/>
          <w:szCs w:val="24"/>
          <w:lang w:val="en-US" w:eastAsia="zh-CN"/>
        </w:rPr>
        <w:t>如有动火作业的应事前向甲方物业服务单位提请动火作业申请，并按要求审批通过后方可作业</w:t>
      </w:r>
      <w:r>
        <w:rPr>
          <w:rFonts w:hint="eastAsia" w:ascii="宋体" w:hAnsi="宋体" w:eastAsia="宋体" w:cs="宋体"/>
          <w:kern w:val="0"/>
          <w:sz w:val="24"/>
          <w:szCs w:val="24"/>
          <w:lang w:eastAsia="zh-CN"/>
        </w:rPr>
        <w:t>。</w:t>
      </w:r>
    </w:p>
    <w:p w14:paraId="6F29E220">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不得在</w:t>
      </w:r>
      <w:r>
        <w:rPr>
          <w:rFonts w:hint="eastAsia" w:ascii="宋体" w:hAnsi="宋体" w:eastAsia="宋体" w:cs="宋体"/>
          <w:kern w:val="0"/>
          <w:sz w:val="24"/>
          <w:szCs w:val="24"/>
          <w:lang w:val="en-US" w:eastAsia="zh-CN"/>
        </w:rPr>
        <w:t>租赁及</w:t>
      </w:r>
      <w:r>
        <w:rPr>
          <w:rFonts w:hint="eastAsia" w:ascii="宋体" w:hAnsi="宋体" w:eastAsia="宋体" w:cs="宋体"/>
          <w:kern w:val="0"/>
          <w:sz w:val="24"/>
          <w:szCs w:val="24"/>
          <w:lang w:eastAsia="zh-CN"/>
        </w:rPr>
        <w:t>使用</w:t>
      </w:r>
      <w:r>
        <w:rPr>
          <w:rFonts w:hint="eastAsia" w:ascii="宋体" w:hAnsi="宋体" w:eastAsia="宋体" w:cs="宋体"/>
          <w:kern w:val="0"/>
          <w:sz w:val="24"/>
          <w:szCs w:val="24"/>
          <w:lang w:val="en-US" w:eastAsia="zh-CN"/>
        </w:rPr>
        <w:t>区域</w:t>
      </w:r>
      <w:r>
        <w:rPr>
          <w:rFonts w:hint="eastAsia" w:ascii="宋体" w:hAnsi="宋体" w:eastAsia="宋体" w:cs="宋体"/>
          <w:kern w:val="0"/>
          <w:sz w:val="24"/>
          <w:szCs w:val="24"/>
          <w:lang w:eastAsia="zh-CN"/>
        </w:rPr>
        <w:t>内违规生产、储存、经营易燃易爆危险品，不得违规存放烟花爆竹。</w:t>
      </w:r>
    </w:p>
    <w:p w14:paraId="43EC6E07">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zh-CN"/>
        </w:rPr>
        <w:t>严格遵守电动自行车防火管理要求，严禁电动自行车</w:t>
      </w:r>
      <w:r>
        <w:rPr>
          <w:rFonts w:hint="eastAsia" w:ascii="宋体" w:hAnsi="宋体" w:eastAsia="宋体" w:cs="宋体"/>
          <w:kern w:val="0"/>
          <w:sz w:val="24"/>
          <w:szCs w:val="24"/>
          <w:lang w:val="en-US" w:eastAsia="zh-CN"/>
        </w:rPr>
        <w:t>驶入租赁及使用区域，严禁</w:t>
      </w:r>
      <w:r>
        <w:rPr>
          <w:rFonts w:hint="eastAsia" w:ascii="宋体" w:hAnsi="宋体" w:eastAsia="宋体" w:cs="宋体"/>
          <w:kern w:val="0"/>
          <w:sz w:val="24"/>
          <w:szCs w:val="24"/>
          <w:lang w:eastAsia="zh-CN"/>
        </w:rPr>
        <w:t>在疏散走道、楼梯间等停放电动自行车或充电，</w:t>
      </w:r>
      <w:r>
        <w:rPr>
          <w:rFonts w:hint="eastAsia" w:ascii="宋体" w:hAnsi="宋体" w:eastAsia="宋体" w:cs="宋体"/>
          <w:kern w:val="0"/>
          <w:sz w:val="24"/>
          <w:szCs w:val="24"/>
          <w:lang w:val="en-US" w:eastAsia="zh-CN"/>
        </w:rPr>
        <w:t>严禁私拉电线飞线充电</w:t>
      </w:r>
      <w:r>
        <w:rPr>
          <w:rFonts w:hint="eastAsia" w:ascii="宋体" w:hAnsi="宋体" w:eastAsia="宋体" w:cs="宋体"/>
          <w:kern w:val="0"/>
          <w:sz w:val="24"/>
          <w:szCs w:val="24"/>
          <w:lang w:eastAsia="zh-CN"/>
        </w:rPr>
        <w:t>。</w:t>
      </w:r>
    </w:p>
    <w:p w14:paraId="4D53A1F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积极参与甲方组织的消防安全宣传教育、培训及灭火和应急疏散演练。</w:t>
      </w:r>
      <w:r>
        <w:rPr>
          <w:rFonts w:hint="eastAsia" w:ascii="宋体" w:hAnsi="宋体" w:eastAsia="宋体" w:cs="宋体"/>
          <w:kern w:val="0"/>
          <w:sz w:val="24"/>
          <w:szCs w:val="24"/>
          <w:lang w:val="en-US" w:eastAsia="zh-CN"/>
        </w:rPr>
        <w:t>应在开业前自行开展消防疏散应急演练，</w:t>
      </w:r>
      <w:r>
        <w:rPr>
          <w:rFonts w:hint="eastAsia" w:ascii="宋体" w:hAnsi="宋体" w:eastAsia="宋体" w:cs="宋体"/>
          <w:kern w:val="0"/>
          <w:sz w:val="24"/>
          <w:szCs w:val="24"/>
          <w:lang w:eastAsia="zh-CN"/>
        </w:rPr>
        <w:t>熟悉疏散通道、安全出口位置及消防设施使用方法。</w:t>
      </w:r>
    </w:p>
    <w:p w14:paraId="1231B5EB">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lang w:eastAsia="zh-CN"/>
        </w:rPr>
        <w:t>发现火情后，立即拨打“119”火警电话并通知甲方，同时组织人员疏散，在确保自身安全的前提下利用现场消防器材开展初期火灾扑救。</w:t>
      </w:r>
    </w:p>
    <w:p w14:paraId="106E0CC8">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第五条 消防安全检查与隐患整改</w:t>
      </w:r>
    </w:p>
    <w:p w14:paraId="3FA0EC09">
      <w:pPr>
        <w:widowControl/>
        <w:spacing w:line="480" w:lineRule="exact"/>
        <w:ind w:firstLine="480" w:firstLineChars="20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lang w:val="en-US" w:eastAsia="zh-CN"/>
        </w:rPr>
        <w:t>1、甲乙双方各自</w:t>
      </w:r>
      <w:r>
        <w:rPr>
          <w:rFonts w:hint="eastAsia" w:ascii="宋体" w:hAnsi="宋体" w:eastAsia="宋体" w:cs="宋体"/>
          <w:color w:val="auto"/>
          <w:kern w:val="0"/>
          <w:sz w:val="24"/>
          <w:szCs w:val="24"/>
          <w:lang w:eastAsia="zh-CN"/>
        </w:rPr>
        <w:t>拟订年度消防安全工作计划及组织保障方</w:t>
      </w:r>
      <w:r>
        <w:rPr>
          <w:rFonts w:hint="eastAsia" w:ascii="宋体" w:hAnsi="宋体" w:eastAsia="宋体" w:cs="宋体"/>
          <w:color w:val="auto"/>
          <w:kern w:val="0"/>
          <w:sz w:val="24"/>
          <w:szCs w:val="24"/>
          <w:highlight w:val="none"/>
          <w:lang w:eastAsia="zh-CN"/>
        </w:rPr>
        <w:t>案。</w:t>
      </w:r>
    </w:p>
    <w:p w14:paraId="77679F83">
      <w:pPr>
        <w:widowControl/>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2、甲乙双方共同</w:t>
      </w:r>
      <w:r>
        <w:rPr>
          <w:rFonts w:hint="eastAsia" w:ascii="宋体" w:hAnsi="宋体" w:eastAsia="宋体" w:cs="宋体"/>
          <w:color w:val="auto"/>
          <w:kern w:val="0"/>
          <w:sz w:val="24"/>
          <w:szCs w:val="24"/>
          <w:lang w:eastAsia="zh-CN"/>
        </w:rPr>
        <w:t>保障本场所消防共用部位畅通，制止占用、堵塞疏散通道、安全出口、消防车通道等违规行为。</w:t>
      </w:r>
    </w:p>
    <w:p w14:paraId="049D96D7">
      <w:pPr>
        <w:widowControl/>
        <w:spacing w:line="48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kern w:val="0"/>
          <w:sz w:val="24"/>
          <w:szCs w:val="24"/>
          <w:lang w:val="en-US" w:eastAsia="zh-CN"/>
        </w:rPr>
        <w:t>3、甲乙双方</w:t>
      </w:r>
      <w:r>
        <w:rPr>
          <w:rFonts w:hint="eastAsia" w:ascii="宋体" w:hAnsi="宋体" w:eastAsia="宋体" w:cs="宋体"/>
          <w:color w:val="auto"/>
          <w:kern w:val="0"/>
          <w:sz w:val="24"/>
          <w:szCs w:val="24"/>
          <w:lang w:eastAsia="zh-CN"/>
        </w:rPr>
        <w:t>积极协助消防救援机构开展火灾调查处理和善后工作，保护火灾现场。</w:t>
      </w:r>
    </w:p>
    <w:p w14:paraId="4C2A7AC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甲方有权组织开展联合防火检查</w:t>
      </w:r>
      <w:r>
        <w:rPr>
          <w:rFonts w:hint="eastAsia" w:ascii="宋体" w:hAnsi="宋体" w:eastAsia="宋体" w:cs="宋体"/>
          <w:kern w:val="0"/>
          <w:sz w:val="24"/>
          <w:szCs w:val="24"/>
          <w:lang w:eastAsia="zh-CN"/>
        </w:rPr>
        <w:t>，对乙方使用范围内的消防安全情况进行巡查、抽查，乙方应主动配合。</w:t>
      </w:r>
    </w:p>
    <w:p w14:paraId="37B97811">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甲方检查中发现乙方存在火灾隐患的，应出具《隐患整改通知书》，明确整改内容、期限及要求。</w:t>
      </w:r>
    </w:p>
    <w:p w14:paraId="1DFAF894">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乙方按要求及时整改，整改完毕后书面申请甲方复查；对不能当场整改的隐患，乙方制定专项整改方案，落实临时防范措施。</w:t>
      </w:r>
    </w:p>
    <w:p w14:paraId="4D2BAC27">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乙方对整改通知书内容有异议的，可在收到通知书之日起3个工作日内向甲方提交书面说明，双方协商解决；协商不成的，乙方应先按通知书要求完成整改，再通过法律途径解决争议。</w:t>
      </w:r>
    </w:p>
    <w:p w14:paraId="39885DC3">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第六条 违约责任</w:t>
      </w:r>
    </w:p>
    <w:p w14:paraId="1D24195A">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若甲方未履行本协议约定的消防安全职责，导致乙方或第三方人身、财产损失的，依法承担相应赔偿责任。</w:t>
      </w:r>
    </w:p>
    <w:p w14:paraId="4AA12C9B">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若乙方未履行本协议约定的消防安全职责，甲方有权责令乙方限期整改；逾期未整改的，甲方采取相应管理措施，产生的费用由乙方承担；若因此引发火灾或造成其他人身、财产损失的，乙方依法承担赔偿责任及相应法律责任。</w:t>
      </w:r>
    </w:p>
    <w:p w14:paraId="53FFDEBC">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第七条 争议解决方式</w:t>
      </w:r>
    </w:p>
    <w:p w14:paraId="10C47F54">
      <w:pPr>
        <w:widowControl/>
        <w:spacing w:line="48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本协议在履行过程中发生的争议，由双方当事人协商解决；协商不成的，可依法向甲方所在地人民法院提起诉讼。</w:t>
      </w:r>
    </w:p>
    <w:p w14:paraId="502F1F8D">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第八条 其他事项</w:t>
      </w:r>
    </w:p>
    <w:p w14:paraId="601FC49D">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本协议未尽事宜，按相关法律法规、规章及</w:t>
      </w:r>
      <w:r>
        <w:rPr>
          <w:rFonts w:hint="eastAsia" w:ascii="宋体" w:hAnsi="宋体" w:eastAsia="宋体" w:cs="宋体"/>
          <w:kern w:val="0"/>
          <w:sz w:val="24"/>
          <w:szCs w:val="24"/>
          <w:lang w:val="en-US" w:eastAsia="zh-CN"/>
        </w:rPr>
        <w:t>嘉庚体育馆</w:t>
      </w:r>
      <w:r>
        <w:rPr>
          <w:rFonts w:hint="eastAsia" w:ascii="宋体" w:hAnsi="宋体" w:eastAsia="宋体" w:cs="宋体"/>
          <w:kern w:val="0"/>
          <w:sz w:val="24"/>
          <w:szCs w:val="24"/>
          <w:lang w:eastAsia="zh-CN"/>
        </w:rPr>
        <w:t>管理规约、</w:t>
      </w:r>
      <w:r>
        <w:rPr>
          <w:rFonts w:hint="eastAsia" w:ascii="宋体" w:hAnsi="宋体" w:eastAsia="宋体" w:cs="宋体"/>
          <w:kern w:val="0"/>
          <w:sz w:val="24"/>
          <w:szCs w:val="24"/>
          <w:lang w:val="en-US" w:eastAsia="zh-CN"/>
        </w:rPr>
        <w:t>双方</w:t>
      </w:r>
      <w:r>
        <w:rPr>
          <w:rFonts w:hint="eastAsia" w:ascii="宋体" w:hAnsi="宋体" w:eastAsia="宋体" w:cs="宋体"/>
          <w:kern w:val="0"/>
          <w:sz w:val="24"/>
          <w:szCs w:val="24"/>
          <w:lang w:eastAsia="zh-CN"/>
        </w:rPr>
        <w:t>合同约定执行；无相关约定的，双方另行协商签订补充协议，补充协议与本协议具有同等法律效力。</w:t>
      </w:r>
    </w:p>
    <w:p w14:paraId="120B135E">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本协议自双方签字盖章之日起生效，有效期至乙方不再使用本场所相关场所之日止；乙方变更使用人或停止使用的，提前书面通知甲方，办理消防安全交接手续。</w:t>
      </w:r>
    </w:p>
    <w:p w14:paraId="039BB4DB">
      <w:pPr>
        <w:widowControl/>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本协议一式</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lang w:eastAsia="zh-CN"/>
        </w:rPr>
        <w:t>份，甲乙双方各执</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lang w:eastAsia="zh-CN"/>
        </w:rPr>
        <w:t>份，具有同等法律效力。</w:t>
      </w:r>
    </w:p>
    <w:p w14:paraId="0F923424">
      <w:pPr>
        <w:widowControl/>
        <w:spacing w:line="480" w:lineRule="exact"/>
        <w:ind w:firstLine="480" w:firstLineChars="200"/>
        <w:jc w:val="left"/>
        <w:rPr>
          <w:rFonts w:hint="eastAsia" w:ascii="宋体" w:hAnsi="宋体" w:eastAsia="宋体" w:cs="宋体"/>
          <w:kern w:val="0"/>
          <w:sz w:val="24"/>
          <w:szCs w:val="24"/>
          <w:lang w:eastAsia="zh-CN"/>
        </w:rPr>
      </w:pPr>
    </w:p>
    <w:p w14:paraId="1AF4A827">
      <w:pPr>
        <w:pStyle w:val="2"/>
        <w:rPr>
          <w:rFonts w:hint="eastAsia"/>
          <w:lang w:eastAsia="zh-CN"/>
        </w:rPr>
      </w:pPr>
    </w:p>
    <w:p w14:paraId="4C6DC5B0">
      <w:pPr>
        <w:widowControl/>
        <w:spacing w:line="480" w:lineRule="exact"/>
        <w:ind w:left="0" w:leftChars="0"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甲方（盖章）：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14:paraId="32EF82A2">
      <w:pPr>
        <w:widowControl/>
        <w:spacing w:line="480" w:lineRule="exact"/>
        <w:ind w:firstLine="0" w:firstLineChars="0"/>
        <w:jc w:val="left"/>
        <w:rPr>
          <w:rFonts w:hint="eastAsia" w:ascii="宋体" w:hAnsi="宋体" w:eastAsia="宋体" w:cs="宋体"/>
          <w:kern w:val="0"/>
          <w:sz w:val="24"/>
          <w:szCs w:val="24"/>
          <w:lang w:eastAsia="zh-CN"/>
        </w:rPr>
      </w:pPr>
    </w:p>
    <w:p w14:paraId="32453EDE">
      <w:pPr>
        <w:widowControl/>
        <w:spacing w:line="480" w:lineRule="exact"/>
        <w:ind w:firstLine="0" w:firstLineChars="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乙方（盖章）：</w:t>
      </w:r>
      <w:r>
        <w:rPr>
          <w:rFonts w:hint="eastAsia" w:ascii="宋体" w:hAnsi="宋体" w:eastAsia="宋体" w:cs="宋体"/>
          <w:kern w:val="0"/>
          <w:sz w:val="24"/>
          <w:szCs w:val="24"/>
          <w:lang w:eastAsia="zh-CN"/>
        </w:rPr>
        <w:br w:type="textWrapping"/>
      </w:r>
      <w:r>
        <w:rPr>
          <w:rFonts w:hint="eastAsia" w:ascii="宋体" w:hAnsi="宋体" w:eastAsia="宋体" w:cs="宋体"/>
          <w:i w:val="0"/>
          <w:iCs w:val="0"/>
          <w:caps w:val="0"/>
          <w:spacing w:val="0"/>
          <w:sz w:val="24"/>
          <w:szCs w:val="24"/>
          <w:shd w:val="clear" w:color="auto" w:fill="FFFFFF"/>
        </w:rPr>
        <w:t>法定代表人</w:t>
      </w:r>
      <w:r>
        <w:rPr>
          <w:rFonts w:hint="eastAsia" w:ascii="宋体" w:hAnsi="宋体" w:eastAsia="宋体" w:cs="宋体"/>
          <w:i w:val="0"/>
          <w:iCs w:val="0"/>
          <w:caps w:val="0"/>
          <w:spacing w:val="0"/>
          <w:sz w:val="24"/>
          <w:szCs w:val="24"/>
          <w:shd w:val="clear" w:color="auto" w:fill="FFFFFF"/>
          <w:lang w:val="en-US" w:eastAsia="zh-CN"/>
        </w:rPr>
        <w:t>/经办人</w:t>
      </w:r>
      <w:r>
        <w:rPr>
          <w:rFonts w:hint="eastAsia" w:ascii="宋体" w:hAnsi="宋体" w:eastAsia="宋体" w:cs="宋体"/>
          <w:kern w:val="0"/>
          <w:sz w:val="24"/>
          <w:szCs w:val="24"/>
          <w:lang w:eastAsia="zh-CN"/>
        </w:rPr>
        <w:t>：____________________</w:t>
      </w:r>
      <w:r>
        <w:rPr>
          <w:rFonts w:hint="eastAsia" w:ascii="宋体" w:hAnsi="宋体" w:eastAsia="宋体" w:cs="宋体"/>
          <w:kern w:val="0"/>
          <w:sz w:val="24"/>
          <w:szCs w:val="24"/>
          <w:lang w:eastAsia="zh-CN"/>
        </w:rPr>
        <w:br w:type="textWrapping"/>
      </w:r>
      <w:r>
        <w:rPr>
          <w:rFonts w:hint="eastAsia" w:ascii="宋体" w:hAnsi="宋体" w:eastAsia="宋体" w:cs="宋体"/>
          <w:kern w:val="0"/>
          <w:sz w:val="24"/>
          <w:szCs w:val="24"/>
          <w:lang w:eastAsia="zh-CN"/>
        </w:rPr>
        <w:t>签订日期：____年____月____日</w:t>
      </w:r>
    </w:p>
    <w:p w14:paraId="730C8D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1B82A8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13082B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0DECA0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425EB8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3D06E60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47E57F4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08A1FB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0E6B76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sz w:val="24"/>
          <w:szCs w:val="24"/>
        </w:rPr>
      </w:pPr>
    </w:p>
    <w:p w14:paraId="1FC5975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4E8BE4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7F37B6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06387C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9837F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3C922E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5A533A7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4DF708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C5ACE5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53D9F9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2DDC10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7527892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14:paraId="10088DF4">
      <w:pPr>
        <w:pStyle w:val="8"/>
        <w:rPr>
          <w:rFonts w:hint="default" w:ascii="Calibri" w:hAnsi="Calibri" w:cs="Calibri"/>
          <w:b w:val="0"/>
          <w:bCs/>
          <w:sz w:val="24"/>
          <w:szCs w:val="24"/>
        </w:rPr>
      </w:pPr>
    </w:p>
    <w:p w14:paraId="346F63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3</w:t>
      </w:r>
      <w:r>
        <w:rPr>
          <w:rFonts w:hint="default" w:ascii="Calibri" w:hAnsi="Calibri" w:cs="Calibri"/>
          <w:b/>
          <w:sz w:val="24"/>
          <w:szCs w:val="24"/>
          <w:lang w:val="en-US" w:eastAsia="zh-CN"/>
        </w:rPr>
        <w:t xml:space="preserve">                    </w:t>
      </w:r>
    </w:p>
    <w:p w14:paraId="551D8B59">
      <w:pPr>
        <w:pStyle w:val="2"/>
        <w:rPr>
          <w:rFonts w:hint="default"/>
          <w:lang w:val="en-US" w:eastAsia="zh-CN"/>
        </w:rPr>
      </w:pPr>
    </w:p>
    <w:p w14:paraId="231955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6"/>
          <w:szCs w:val="36"/>
        </w:rPr>
      </w:pPr>
      <w:r>
        <w:rPr>
          <w:rFonts w:hint="default" w:ascii="Calibri" w:hAnsi="Calibri" w:cs="Calibri"/>
          <w:b/>
          <w:sz w:val="36"/>
          <w:szCs w:val="36"/>
          <w:lang w:val="en-US" w:eastAsia="zh-CN"/>
        </w:rPr>
        <w:t>租赁标的平面示意图</w:t>
      </w:r>
    </w:p>
    <w:p w14:paraId="7DBB48C4">
      <w:pPr>
        <w:widowControl w:val="0"/>
        <w:spacing w:line="440" w:lineRule="exact"/>
        <w:jc w:val="center"/>
        <w:rPr>
          <w:rFonts w:hint="default" w:ascii="Calibri" w:hAnsi="Calibri" w:cs="Calibri"/>
          <w:bCs/>
          <w:sz w:val="24"/>
          <w:lang w:val="en-US" w:eastAsia="zh-CN"/>
        </w:rPr>
      </w:pPr>
    </w:p>
    <w:p w14:paraId="0AE24190">
      <w:pPr>
        <w:pStyle w:val="2"/>
        <w:rPr>
          <w:rFonts w:hint="default" w:ascii="Calibri" w:hAnsi="Calibri" w:cs="Calibri"/>
          <w:bCs/>
          <w:sz w:val="24"/>
          <w:lang w:val="en-US" w:eastAsia="zh-CN"/>
        </w:rPr>
      </w:pPr>
    </w:p>
    <w:p w14:paraId="08E747D1">
      <w:pPr>
        <w:pStyle w:val="2"/>
        <w:rPr>
          <w:rFonts w:hint="default" w:ascii="Calibri" w:hAnsi="Calibri" w:cs="Calibri"/>
          <w:bCs/>
          <w:sz w:val="24"/>
          <w:lang w:val="en-US" w:eastAsia="zh-CN"/>
        </w:rPr>
      </w:pPr>
      <w:r>
        <w:rPr>
          <w:color w:val="auto"/>
        </w:rPr>
        <w:drawing>
          <wp:anchor distT="0" distB="0" distL="114935" distR="114935" simplePos="0" relativeHeight="251659264" behindDoc="0" locked="0" layoutInCell="1" allowOverlap="1">
            <wp:simplePos x="0" y="0"/>
            <wp:positionH relativeFrom="column">
              <wp:posOffset>-427355</wp:posOffset>
            </wp:positionH>
            <wp:positionV relativeFrom="paragraph">
              <wp:posOffset>-166370</wp:posOffset>
            </wp:positionV>
            <wp:extent cx="6000115" cy="3440430"/>
            <wp:effectExtent l="0" t="0" r="63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000115" cy="3440430"/>
                    </a:xfrm>
                    <a:prstGeom prst="rect">
                      <a:avLst/>
                    </a:prstGeom>
                    <a:noFill/>
                    <a:ln>
                      <a:noFill/>
                    </a:ln>
                  </pic:spPr>
                </pic:pic>
              </a:graphicData>
            </a:graphic>
          </wp:anchor>
        </w:drawing>
      </w:r>
    </w:p>
    <w:p w14:paraId="196ABDC4">
      <w:pPr>
        <w:pStyle w:val="2"/>
        <w:rPr>
          <w:rFonts w:hint="default" w:ascii="Calibri" w:hAnsi="Calibri" w:cs="Calibri"/>
          <w:bCs/>
          <w:sz w:val="24"/>
          <w:lang w:val="en-US" w:eastAsia="zh-CN"/>
        </w:rPr>
      </w:pPr>
    </w:p>
    <w:p w14:paraId="5E2DB995">
      <w:pPr>
        <w:pStyle w:val="2"/>
        <w:rPr>
          <w:rFonts w:hint="default" w:ascii="Calibri" w:hAnsi="Calibri" w:cs="Calibri"/>
          <w:bCs/>
          <w:sz w:val="24"/>
          <w:lang w:val="en-US" w:eastAsia="zh-CN"/>
        </w:rPr>
      </w:pPr>
    </w:p>
    <w:p w14:paraId="00908885">
      <w:pPr>
        <w:pStyle w:val="2"/>
        <w:rPr>
          <w:rFonts w:hint="default" w:ascii="Calibri" w:hAnsi="Calibri" w:cs="Calibri"/>
          <w:bCs/>
          <w:sz w:val="24"/>
          <w:lang w:val="en-US" w:eastAsia="zh-CN"/>
        </w:rPr>
      </w:pPr>
    </w:p>
    <w:p w14:paraId="153484F9">
      <w:pPr>
        <w:pStyle w:val="2"/>
        <w:rPr>
          <w:rFonts w:hint="default" w:ascii="Calibri" w:hAnsi="Calibri" w:cs="Calibri"/>
          <w:bCs/>
          <w:sz w:val="24"/>
          <w:lang w:val="en-US" w:eastAsia="zh-CN"/>
        </w:rPr>
      </w:pPr>
    </w:p>
    <w:p w14:paraId="7B82A31B">
      <w:pPr>
        <w:pStyle w:val="2"/>
        <w:rPr>
          <w:rFonts w:hint="default" w:ascii="Calibri" w:hAnsi="Calibri" w:cs="Calibri"/>
          <w:bCs/>
          <w:sz w:val="24"/>
          <w:lang w:val="en-US" w:eastAsia="zh-CN"/>
        </w:rPr>
      </w:pPr>
    </w:p>
    <w:p w14:paraId="31D92FAA">
      <w:pPr>
        <w:pStyle w:val="2"/>
        <w:rPr>
          <w:rFonts w:hint="default" w:ascii="Calibri" w:hAnsi="Calibri" w:cs="Calibri"/>
          <w:bCs/>
          <w:sz w:val="24"/>
          <w:lang w:val="en-US" w:eastAsia="zh-CN"/>
        </w:rPr>
      </w:pPr>
    </w:p>
    <w:p w14:paraId="6AF85D17">
      <w:pPr>
        <w:pStyle w:val="2"/>
        <w:rPr>
          <w:rFonts w:hint="default" w:ascii="Calibri" w:hAnsi="Calibri" w:cs="Calibri"/>
          <w:bCs/>
          <w:sz w:val="24"/>
          <w:lang w:val="en-US" w:eastAsia="zh-CN"/>
        </w:rPr>
      </w:pPr>
    </w:p>
    <w:p w14:paraId="105F1624">
      <w:pPr>
        <w:pStyle w:val="2"/>
        <w:rPr>
          <w:rFonts w:hint="default" w:ascii="Calibri" w:hAnsi="Calibri" w:cs="Calibri"/>
          <w:bCs/>
          <w:sz w:val="24"/>
          <w:lang w:val="en-US" w:eastAsia="zh-CN"/>
        </w:rPr>
      </w:pPr>
    </w:p>
    <w:p w14:paraId="467D7174">
      <w:pPr>
        <w:pStyle w:val="2"/>
        <w:rPr>
          <w:rFonts w:hint="default" w:ascii="Calibri" w:hAnsi="Calibri" w:cs="Calibri"/>
          <w:bCs/>
          <w:sz w:val="24"/>
          <w:lang w:val="en-US" w:eastAsia="zh-CN"/>
        </w:rPr>
      </w:pPr>
    </w:p>
    <w:p w14:paraId="274B5918">
      <w:pPr>
        <w:pStyle w:val="2"/>
        <w:rPr>
          <w:rFonts w:hint="default" w:ascii="Calibri" w:hAnsi="Calibri" w:cs="Calibri"/>
          <w:bCs/>
          <w:sz w:val="24"/>
          <w:lang w:val="en-US" w:eastAsia="zh-CN"/>
        </w:rPr>
      </w:pPr>
    </w:p>
    <w:p w14:paraId="6D84630A">
      <w:pPr>
        <w:pStyle w:val="2"/>
        <w:rPr>
          <w:rFonts w:hint="default"/>
          <w:lang w:val="en-US" w:eastAsia="zh-CN"/>
        </w:rPr>
      </w:pPr>
    </w:p>
    <w:p w14:paraId="6FADF204">
      <w:pPr>
        <w:tabs>
          <w:tab w:val="left" w:pos="2265"/>
        </w:tabs>
        <w:bidi w:val="0"/>
        <w:jc w:val="left"/>
        <w:rPr>
          <w:rFonts w:hint="default" w:ascii="Calibri" w:hAnsi="Calibri" w:cs="Calibri"/>
          <w:lang w:val="en-US" w:eastAsia="zh-CN"/>
        </w:rPr>
      </w:pPr>
    </w:p>
    <w:p w14:paraId="0A2B853F">
      <w:pPr>
        <w:bidi w:val="0"/>
        <w:rPr>
          <w:rFonts w:hint="default" w:ascii="Calibri" w:hAnsi="Calibri" w:cs="Calibri"/>
          <w:lang w:val="en-US" w:eastAsia="zh-CN"/>
        </w:rPr>
      </w:pPr>
    </w:p>
    <w:p w14:paraId="56C72984">
      <w:pPr>
        <w:bidi w:val="0"/>
        <w:rPr>
          <w:rFonts w:hint="default" w:ascii="Calibri" w:hAnsi="Calibri" w:cs="Calibri"/>
          <w:lang w:val="en-US" w:eastAsia="zh-CN"/>
        </w:rPr>
      </w:pPr>
    </w:p>
    <w:p w14:paraId="4AF04AD4">
      <w:pPr>
        <w:bidi w:val="0"/>
        <w:rPr>
          <w:rFonts w:hint="default" w:ascii="Calibri" w:hAnsi="Calibri" w:cs="Calibri"/>
          <w:lang w:val="en-US" w:eastAsia="zh-CN"/>
        </w:rPr>
      </w:pPr>
    </w:p>
    <w:p w14:paraId="71EEF488">
      <w:pPr>
        <w:bidi w:val="0"/>
        <w:rPr>
          <w:rFonts w:hint="default" w:ascii="Calibri" w:hAnsi="Calibri" w:cs="Calibri"/>
          <w:lang w:val="en-US" w:eastAsia="zh-CN"/>
        </w:rPr>
      </w:pPr>
    </w:p>
    <w:p w14:paraId="7BF03B56">
      <w:pPr>
        <w:bidi w:val="0"/>
        <w:rPr>
          <w:rFonts w:hint="default" w:ascii="Calibri" w:hAnsi="Calibri" w:cs="Calibri"/>
          <w:lang w:val="en-US" w:eastAsia="zh-CN"/>
        </w:rPr>
      </w:pPr>
    </w:p>
    <w:p w14:paraId="3BEF6B6F">
      <w:pPr>
        <w:bidi w:val="0"/>
        <w:rPr>
          <w:rFonts w:hint="default" w:ascii="Calibri" w:hAnsi="Calibri" w:cs="Calibri"/>
          <w:lang w:val="en-US" w:eastAsia="zh-CN"/>
        </w:rPr>
      </w:pPr>
    </w:p>
    <w:p w14:paraId="2A38674A">
      <w:pPr>
        <w:bidi w:val="0"/>
        <w:rPr>
          <w:rFonts w:hint="default" w:ascii="Calibri" w:hAnsi="Calibri" w:cs="Calibri"/>
          <w:lang w:val="en-US" w:eastAsia="zh-CN"/>
        </w:rPr>
      </w:pPr>
    </w:p>
    <w:p w14:paraId="3B921073">
      <w:pPr>
        <w:bidi w:val="0"/>
        <w:rPr>
          <w:rFonts w:hint="default" w:ascii="Calibri" w:hAnsi="Calibri" w:cs="Calibri"/>
          <w:lang w:val="en-US" w:eastAsia="zh-CN"/>
        </w:rPr>
      </w:pPr>
    </w:p>
    <w:p w14:paraId="120B7229">
      <w:pPr>
        <w:widowControl w:val="0"/>
        <w:spacing w:line="440" w:lineRule="exact"/>
        <w:jc w:val="both"/>
        <w:rPr>
          <w:rFonts w:ascii="Calibri" w:hAnsi="Calibri" w:cs="Calibri"/>
          <w:bCs/>
          <w:sz w:val="24"/>
        </w:rPr>
      </w:pPr>
    </w:p>
    <w:p w14:paraId="106B15D2">
      <w:pPr>
        <w:rPr>
          <w:rFonts w:ascii="Times New Roman" w:hAnsi="Times New Roman" w:eastAsia="宋体" w:cs="Times New Roman"/>
          <w:kern w:val="1"/>
          <w:sz w:val="21"/>
          <w:szCs w:val="24"/>
          <w:lang w:val="en-US" w:eastAsia="zh-CN" w:bidi="ar-SA"/>
        </w:rPr>
      </w:pPr>
    </w:p>
    <w:p w14:paraId="282E0A8F">
      <w:pPr>
        <w:rPr>
          <w:lang w:val="en-US" w:eastAsia="zh-CN"/>
        </w:rPr>
      </w:pPr>
    </w:p>
    <w:p w14:paraId="14EFD52D">
      <w:pPr>
        <w:rPr>
          <w:lang w:val="en-US" w:eastAsia="zh-CN"/>
        </w:rPr>
      </w:pPr>
    </w:p>
    <w:p w14:paraId="6965CFD9">
      <w:pPr>
        <w:jc w:val="center"/>
        <w:rPr>
          <w:lang w:val="en-US" w:eastAsia="zh-CN"/>
        </w:rPr>
      </w:pPr>
      <w:r>
        <w:rPr>
          <w:rFonts w:hint="eastAsia" w:ascii="仿宋" w:hAnsi="仿宋" w:eastAsia="仿宋" w:cs="仿宋"/>
          <w:bCs/>
          <w:color w:val="000000" w:themeColor="text1"/>
          <w:sz w:val="32"/>
          <w:szCs w:val="32"/>
          <w:highlight w:val="none"/>
          <w:shd w:val="clear" w:color="auto" w:fill="FFFFFF" w:themeFill="background1"/>
          <w:lang w:val="en-US" w:eastAsia="zh-CN"/>
          <w14:textFill>
            <w14:solidFill>
              <w14:schemeClr w14:val="tx1"/>
            </w14:solidFill>
          </w14:textFill>
        </w:rPr>
        <w:t>比赛馆北侧约60平方米</w:t>
      </w:r>
      <w:r>
        <w:rPr>
          <w:rFonts w:hint="default" w:ascii="仿宋" w:hAnsi="仿宋" w:eastAsia="仿宋" w:cs="仿宋"/>
          <w:bCs/>
          <w:color w:val="000000" w:themeColor="text1"/>
          <w:sz w:val="32"/>
          <w:szCs w:val="32"/>
          <w:highlight w:val="none"/>
          <w:shd w:val="clear" w:color="auto" w:fill="FFFFFF" w:themeFill="background1"/>
          <w:lang w:val="en-US" w:eastAsia="zh-CN"/>
          <w14:textFill>
            <w14:solidFill>
              <w14:schemeClr w14:val="tx1"/>
            </w14:solidFill>
          </w14:textFill>
        </w:rPr>
        <w:t>空地</w:t>
      </w:r>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CEDD">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BBDDC"/>
    <w:multiLevelType w:val="singleLevel"/>
    <w:tmpl w:val="87BBBDDC"/>
    <w:lvl w:ilvl="0" w:tentative="0">
      <w:start w:val="1"/>
      <w:numFmt w:val="chineseCounting"/>
      <w:suff w:val="space"/>
      <w:lvlText w:val="第%1条"/>
      <w:lvlJc w:val="left"/>
      <w:rPr>
        <w:rFonts w:hint="eastAsia"/>
      </w:rPr>
    </w:lvl>
  </w:abstractNum>
  <w:abstractNum w:abstractNumId="1">
    <w:nsid w:val="A55D9235"/>
    <w:multiLevelType w:val="singleLevel"/>
    <w:tmpl w:val="A55D9235"/>
    <w:lvl w:ilvl="0" w:tentative="0">
      <w:start w:val="3"/>
      <w:numFmt w:val="decimal"/>
      <w:suff w:val="space"/>
      <w:lvlText w:val="%1."/>
      <w:lvlJc w:val="left"/>
    </w:lvl>
  </w:abstractNum>
  <w:abstractNum w:abstractNumId="2">
    <w:nsid w:val="7C5AB750"/>
    <w:multiLevelType w:val="singleLevel"/>
    <w:tmpl w:val="7C5AB750"/>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02A9"/>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F40FB2"/>
    <w:rsid w:val="020403A9"/>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64029FC"/>
    <w:rsid w:val="0700347B"/>
    <w:rsid w:val="071D4AEC"/>
    <w:rsid w:val="072D4C68"/>
    <w:rsid w:val="07644D70"/>
    <w:rsid w:val="077E2633"/>
    <w:rsid w:val="07867C94"/>
    <w:rsid w:val="07CC4012"/>
    <w:rsid w:val="07D13273"/>
    <w:rsid w:val="081303C8"/>
    <w:rsid w:val="08366F72"/>
    <w:rsid w:val="08F22029"/>
    <w:rsid w:val="090146C5"/>
    <w:rsid w:val="095B75D9"/>
    <w:rsid w:val="099029BA"/>
    <w:rsid w:val="0A0B539A"/>
    <w:rsid w:val="0A0E0592"/>
    <w:rsid w:val="0A283ED3"/>
    <w:rsid w:val="0A2E2B51"/>
    <w:rsid w:val="0A6C78CF"/>
    <w:rsid w:val="0A771094"/>
    <w:rsid w:val="0AD41965"/>
    <w:rsid w:val="0ADA5580"/>
    <w:rsid w:val="0ADD0B11"/>
    <w:rsid w:val="0AEC683D"/>
    <w:rsid w:val="0B494953"/>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2E7896"/>
    <w:rsid w:val="0F3D5D2B"/>
    <w:rsid w:val="0F503CB0"/>
    <w:rsid w:val="0F57353F"/>
    <w:rsid w:val="0F6F51D5"/>
    <w:rsid w:val="0FAE3265"/>
    <w:rsid w:val="0FDA2FAD"/>
    <w:rsid w:val="106D0892"/>
    <w:rsid w:val="10D53BC6"/>
    <w:rsid w:val="111F19F2"/>
    <w:rsid w:val="116C253E"/>
    <w:rsid w:val="118F1115"/>
    <w:rsid w:val="1243016D"/>
    <w:rsid w:val="125E7F10"/>
    <w:rsid w:val="12D87BDB"/>
    <w:rsid w:val="12F22818"/>
    <w:rsid w:val="1300010B"/>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8CE5C46"/>
    <w:rsid w:val="194303E2"/>
    <w:rsid w:val="19620F40"/>
    <w:rsid w:val="196D1903"/>
    <w:rsid w:val="19AC4823"/>
    <w:rsid w:val="19F47B0C"/>
    <w:rsid w:val="1A334F3E"/>
    <w:rsid w:val="1A3F3285"/>
    <w:rsid w:val="1A484470"/>
    <w:rsid w:val="1A637E6F"/>
    <w:rsid w:val="1A774B61"/>
    <w:rsid w:val="1AFA2309"/>
    <w:rsid w:val="1B041E44"/>
    <w:rsid w:val="1B5C299F"/>
    <w:rsid w:val="1B7F7C2A"/>
    <w:rsid w:val="1B846881"/>
    <w:rsid w:val="1B85229D"/>
    <w:rsid w:val="1B8F2D93"/>
    <w:rsid w:val="1C8021A4"/>
    <w:rsid w:val="1C8B7C14"/>
    <w:rsid w:val="1CA51C0B"/>
    <w:rsid w:val="1E033E96"/>
    <w:rsid w:val="1E326C77"/>
    <w:rsid w:val="1F0A3E2D"/>
    <w:rsid w:val="1F3F7351"/>
    <w:rsid w:val="1F990A42"/>
    <w:rsid w:val="1FA45952"/>
    <w:rsid w:val="1FEC1192"/>
    <w:rsid w:val="1FEE46EB"/>
    <w:rsid w:val="1FF627E3"/>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78512C"/>
    <w:rsid w:val="23B23E50"/>
    <w:rsid w:val="23F33358"/>
    <w:rsid w:val="255C6981"/>
    <w:rsid w:val="25CF7300"/>
    <w:rsid w:val="25FE5F64"/>
    <w:rsid w:val="26FD5289"/>
    <w:rsid w:val="2707562B"/>
    <w:rsid w:val="27C93C34"/>
    <w:rsid w:val="27D12CBD"/>
    <w:rsid w:val="27E1033A"/>
    <w:rsid w:val="28101DD7"/>
    <w:rsid w:val="28353DD0"/>
    <w:rsid w:val="283E74DE"/>
    <w:rsid w:val="289F38B4"/>
    <w:rsid w:val="292D4EF1"/>
    <w:rsid w:val="29662056"/>
    <w:rsid w:val="29D26807"/>
    <w:rsid w:val="29F42AD5"/>
    <w:rsid w:val="2ABE5A49"/>
    <w:rsid w:val="2AC313A7"/>
    <w:rsid w:val="2ADA5004"/>
    <w:rsid w:val="2B1971F4"/>
    <w:rsid w:val="2C0B59F2"/>
    <w:rsid w:val="2C0D2C2B"/>
    <w:rsid w:val="2C786437"/>
    <w:rsid w:val="2CCC67F6"/>
    <w:rsid w:val="2D1B0F55"/>
    <w:rsid w:val="2D1C4D7A"/>
    <w:rsid w:val="2D3B34C2"/>
    <w:rsid w:val="2D51462E"/>
    <w:rsid w:val="2DC24C02"/>
    <w:rsid w:val="2E202C3D"/>
    <w:rsid w:val="2E2906F6"/>
    <w:rsid w:val="2E4B41E8"/>
    <w:rsid w:val="2E73724B"/>
    <w:rsid w:val="2EB711FE"/>
    <w:rsid w:val="2EEC200B"/>
    <w:rsid w:val="2F0A4ECF"/>
    <w:rsid w:val="2F1D691C"/>
    <w:rsid w:val="2F643635"/>
    <w:rsid w:val="2FA52C85"/>
    <w:rsid w:val="2FA94E22"/>
    <w:rsid w:val="2FD60658"/>
    <w:rsid w:val="31520B1A"/>
    <w:rsid w:val="3167719C"/>
    <w:rsid w:val="31A55C86"/>
    <w:rsid w:val="31A603B8"/>
    <w:rsid w:val="32011A83"/>
    <w:rsid w:val="322C275F"/>
    <w:rsid w:val="32A22501"/>
    <w:rsid w:val="32E970E9"/>
    <w:rsid w:val="335128EE"/>
    <w:rsid w:val="338A7C19"/>
    <w:rsid w:val="33A92700"/>
    <w:rsid w:val="34307025"/>
    <w:rsid w:val="343E19DE"/>
    <w:rsid w:val="34A401F9"/>
    <w:rsid w:val="34FE01A9"/>
    <w:rsid w:val="35721025"/>
    <w:rsid w:val="361138EA"/>
    <w:rsid w:val="3625544D"/>
    <w:rsid w:val="366109B6"/>
    <w:rsid w:val="36AF49A1"/>
    <w:rsid w:val="37030760"/>
    <w:rsid w:val="37051CA2"/>
    <w:rsid w:val="374646EA"/>
    <w:rsid w:val="37607827"/>
    <w:rsid w:val="379876F3"/>
    <w:rsid w:val="37A61547"/>
    <w:rsid w:val="37FA046F"/>
    <w:rsid w:val="38524DDA"/>
    <w:rsid w:val="38AE3BA1"/>
    <w:rsid w:val="38FA06E3"/>
    <w:rsid w:val="398C70A8"/>
    <w:rsid w:val="39BF178A"/>
    <w:rsid w:val="39C765C8"/>
    <w:rsid w:val="3A2F1883"/>
    <w:rsid w:val="3A9309F6"/>
    <w:rsid w:val="3B007A89"/>
    <w:rsid w:val="3B23679F"/>
    <w:rsid w:val="3B456F48"/>
    <w:rsid w:val="3B7566C9"/>
    <w:rsid w:val="3BA8718E"/>
    <w:rsid w:val="3BF30A57"/>
    <w:rsid w:val="3C0F0B65"/>
    <w:rsid w:val="3C2E229B"/>
    <w:rsid w:val="3C4D430D"/>
    <w:rsid w:val="3D696C73"/>
    <w:rsid w:val="3E1A3557"/>
    <w:rsid w:val="3E3839DE"/>
    <w:rsid w:val="3E6D03C3"/>
    <w:rsid w:val="3ECA7A13"/>
    <w:rsid w:val="3ED17FC2"/>
    <w:rsid w:val="3EF9081F"/>
    <w:rsid w:val="3F2D4E1D"/>
    <w:rsid w:val="3F8C58F5"/>
    <w:rsid w:val="3FD6495D"/>
    <w:rsid w:val="401E1D85"/>
    <w:rsid w:val="406F6B7F"/>
    <w:rsid w:val="408F19D5"/>
    <w:rsid w:val="412B19D1"/>
    <w:rsid w:val="41A679B8"/>
    <w:rsid w:val="41CA101D"/>
    <w:rsid w:val="424646F2"/>
    <w:rsid w:val="42916AC5"/>
    <w:rsid w:val="429C7E75"/>
    <w:rsid w:val="432256AD"/>
    <w:rsid w:val="438A4CDB"/>
    <w:rsid w:val="43E777D6"/>
    <w:rsid w:val="43F860E9"/>
    <w:rsid w:val="440C6F60"/>
    <w:rsid w:val="44246EDE"/>
    <w:rsid w:val="4469414C"/>
    <w:rsid w:val="447B44A5"/>
    <w:rsid w:val="44855DD4"/>
    <w:rsid w:val="449E5D80"/>
    <w:rsid w:val="44C162E3"/>
    <w:rsid w:val="455F793E"/>
    <w:rsid w:val="468D2FDC"/>
    <w:rsid w:val="46D20F3C"/>
    <w:rsid w:val="471C20EE"/>
    <w:rsid w:val="4763356E"/>
    <w:rsid w:val="47813C4B"/>
    <w:rsid w:val="4799373F"/>
    <w:rsid w:val="47B27B05"/>
    <w:rsid w:val="47C10456"/>
    <w:rsid w:val="47E70447"/>
    <w:rsid w:val="48064C8D"/>
    <w:rsid w:val="48316518"/>
    <w:rsid w:val="486A0C38"/>
    <w:rsid w:val="489B2EF2"/>
    <w:rsid w:val="48A00AFD"/>
    <w:rsid w:val="48EA672B"/>
    <w:rsid w:val="48FF3A76"/>
    <w:rsid w:val="49383104"/>
    <w:rsid w:val="496075FF"/>
    <w:rsid w:val="498A52B2"/>
    <w:rsid w:val="499B1D48"/>
    <w:rsid w:val="49B30EF6"/>
    <w:rsid w:val="4A17094B"/>
    <w:rsid w:val="4A2B616B"/>
    <w:rsid w:val="4AAD6EC6"/>
    <w:rsid w:val="4AEF47F3"/>
    <w:rsid w:val="4AF569A0"/>
    <w:rsid w:val="4B5C2027"/>
    <w:rsid w:val="4B7818BD"/>
    <w:rsid w:val="4BC16DB2"/>
    <w:rsid w:val="4BEC1DD4"/>
    <w:rsid w:val="4C0952C7"/>
    <w:rsid w:val="4C3677AE"/>
    <w:rsid w:val="4C4749A1"/>
    <w:rsid w:val="4C7B12C6"/>
    <w:rsid w:val="4C7C1BFD"/>
    <w:rsid w:val="4C96024D"/>
    <w:rsid w:val="4CB604A9"/>
    <w:rsid w:val="4CDA1554"/>
    <w:rsid w:val="4D1455D4"/>
    <w:rsid w:val="4D541177"/>
    <w:rsid w:val="4D7A5C35"/>
    <w:rsid w:val="4DC8471A"/>
    <w:rsid w:val="4DCD1D3A"/>
    <w:rsid w:val="4DF13C46"/>
    <w:rsid w:val="4EDC341F"/>
    <w:rsid w:val="4EE23B73"/>
    <w:rsid w:val="4EF83441"/>
    <w:rsid w:val="4F0379FF"/>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AD0E9D"/>
    <w:rsid w:val="52C220F6"/>
    <w:rsid w:val="52C2343B"/>
    <w:rsid w:val="52CA7BC8"/>
    <w:rsid w:val="537C718A"/>
    <w:rsid w:val="53B96C91"/>
    <w:rsid w:val="53DD2AFE"/>
    <w:rsid w:val="543B4218"/>
    <w:rsid w:val="543B6C69"/>
    <w:rsid w:val="543C5B7E"/>
    <w:rsid w:val="556A2277"/>
    <w:rsid w:val="55985A90"/>
    <w:rsid w:val="55DA77E7"/>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4F7FE5"/>
    <w:rsid w:val="598F6946"/>
    <w:rsid w:val="5A7D7DC7"/>
    <w:rsid w:val="5AA73F3F"/>
    <w:rsid w:val="5B2D7FCE"/>
    <w:rsid w:val="5B523ED9"/>
    <w:rsid w:val="5B962018"/>
    <w:rsid w:val="5BAD072F"/>
    <w:rsid w:val="5BAE48C8"/>
    <w:rsid w:val="5BDE7E94"/>
    <w:rsid w:val="5C2C66E2"/>
    <w:rsid w:val="5C3F26AF"/>
    <w:rsid w:val="5CDC14F3"/>
    <w:rsid w:val="5E150F43"/>
    <w:rsid w:val="5E182244"/>
    <w:rsid w:val="5E1A5DF2"/>
    <w:rsid w:val="5E286BEC"/>
    <w:rsid w:val="5E3862DA"/>
    <w:rsid w:val="5EAB402C"/>
    <w:rsid w:val="5EAC261B"/>
    <w:rsid w:val="5F3758C0"/>
    <w:rsid w:val="5F742670"/>
    <w:rsid w:val="5FAD1376"/>
    <w:rsid w:val="5FD849CF"/>
    <w:rsid w:val="5FE17F70"/>
    <w:rsid w:val="5FFD1933"/>
    <w:rsid w:val="60885507"/>
    <w:rsid w:val="60D844A5"/>
    <w:rsid w:val="60E7654F"/>
    <w:rsid w:val="60EE06BB"/>
    <w:rsid w:val="61190265"/>
    <w:rsid w:val="61EE5FDE"/>
    <w:rsid w:val="62050653"/>
    <w:rsid w:val="62412530"/>
    <w:rsid w:val="626878D2"/>
    <w:rsid w:val="62C610B8"/>
    <w:rsid w:val="62EE7E90"/>
    <w:rsid w:val="630A189A"/>
    <w:rsid w:val="63E222BB"/>
    <w:rsid w:val="640435BA"/>
    <w:rsid w:val="642A6984"/>
    <w:rsid w:val="64825E51"/>
    <w:rsid w:val="64AC5E52"/>
    <w:rsid w:val="64C4275C"/>
    <w:rsid w:val="64E70AE5"/>
    <w:rsid w:val="655C7F76"/>
    <w:rsid w:val="657A02B4"/>
    <w:rsid w:val="66273E28"/>
    <w:rsid w:val="66D165FA"/>
    <w:rsid w:val="66EA635C"/>
    <w:rsid w:val="674273C8"/>
    <w:rsid w:val="6820712E"/>
    <w:rsid w:val="6837248C"/>
    <w:rsid w:val="69381B5F"/>
    <w:rsid w:val="694C6CD1"/>
    <w:rsid w:val="69E97DFB"/>
    <w:rsid w:val="69FD0FC9"/>
    <w:rsid w:val="6A3E46DE"/>
    <w:rsid w:val="6A4F0E0C"/>
    <w:rsid w:val="6ABF6769"/>
    <w:rsid w:val="6B977130"/>
    <w:rsid w:val="6BEB0189"/>
    <w:rsid w:val="6BF1083D"/>
    <w:rsid w:val="6C9A123C"/>
    <w:rsid w:val="6CB44578"/>
    <w:rsid w:val="6CD44A5F"/>
    <w:rsid w:val="6CEE3336"/>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F91F10"/>
    <w:rsid w:val="703E3036"/>
    <w:rsid w:val="70522C4C"/>
    <w:rsid w:val="70557F4C"/>
    <w:rsid w:val="70644A0C"/>
    <w:rsid w:val="707104A7"/>
    <w:rsid w:val="70A17B30"/>
    <w:rsid w:val="70B52781"/>
    <w:rsid w:val="70C843F7"/>
    <w:rsid w:val="70D52C9C"/>
    <w:rsid w:val="70DD357C"/>
    <w:rsid w:val="711E3C18"/>
    <w:rsid w:val="71624FE1"/>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857FE4"/>
    <w:rsid w:val="7A8716F7"/>
    <w:rsid w:val="7AB1308A"/>
    <w:rsid w:val="7B1C0E26"/>
    <w:rsid w:val="7B6150EE"/>
    <w:rsid w:val="7BA65C05"/>
    <w:rsid w:val="7C4B2553"/>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7">
    <w:name w:val="Normal (Web)"/>
    <w:basedOn w:val="1"/>
    <w:qFormat/>
    <w:uiPriority w:val="0"/>
    <w:rPr>
      <w:sz w:val="24"/>
    </w:rPr>
  </w:style>
  <w:style w:type="paragraph" w:styleId="8">
    <w:name w:val="Title"/>
    <w:basedOn w:val="1"/>
    <w:qFormat/>
    <w:uiPriority w:val="0"/>
    <w:pPr>
      <w:spacing w:before="240" w:after="60"/>
      <w:jc w:val="center"/>
      <w:outlineLvl w:val="0"/>
    </w:pPr>
    <w:rPr>
      <w:rFonts w:ascii="Arial" w:hAnsi="Arial"/>
      <w:b/>
      <w:sz w:val="32"/>
    </w:rPr>
  </w:style>
  <w:style w:type="character" w:styleId="11">
    <w:name w:val="page number"/>
    <w:qFormat/>
    <w:uiPriority w:val="0"/>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3127</Words>
  <Characters>3154</Characters>
  <Lines>45</Lines>
  <Paragraphs>12</Paragraphs>
  <TotalTime>26</TotalTime>
  <ScaleCrop>false</ScaleCrop>
  <LinksUpToDate>false</LinksUpToDate>
  <CharactersWithSpaces>3682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郭凤玲</cp:lastModifiedBy>
  <cp:lastPrinted>2023-07-07T06:31:00Z</cp:lastPrinted>
  <dcterms:modified xsi:type="dcterms:W3CDTF">2026-06-10T02:00:04Z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5EFF31821CEC46649FF5977C89B5AA06_13</vt:lpwstr>
  </property>
  <property fmtid="{D5CDD505-2E9C-101B-9397-08002B2CF9AE}" pid="4" name="KSOTemplateDocerSaveRecord">
    <vt:lpwstr>eyJoZGlkIjoiZTcxMWY5ZjhkNzlhY2VhYjBmNmE4YjcyODI2NDRhMGQiLCJ1c2VySWQiOiIzNjg1NjM2NTYifQ==</vt:lpwstr>
  </property>
</Properties>
</file>