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1CA19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黑体" w:hAnsi="黑体" w:eastAsia="黑体" w:cs="宋体"/>
          <w:b/>
          <w:bCs/>
          <w:kern w:val="0"/>
          <w:sz w:val="44"/>
          <w:szCs w:val="44"/>
          <w:lang w:val="en-US" w:eastAsia="zh-CN"/>
        </w:rPr>
      </w:pPr>
      <w:r>
        <w:rPr>
          <w:rFonts w:hint="eastAsia" w:ascii="黑体" w:hAnsi="黑体" w:eastAsia="黑体" w:cs="宋体"/>
          <w:b/>
          <w:bCs/>
          <w:kern w:val="0"/>
          <w:sz w:val="44"/>
          <w:szCs w:val="44"/>
          <w:lang w:val="en-US" w:eastAsia="zh-CN"/>
        </w:rPr>
        <w:t>厦门宝达投资有限公司</w:t>
      </w:r>
    </w:p>
    <w:p w14:paraId="3CE6A8AF">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黑体" w:hAnsi="黑体" w:eastAsia="黑体" w:cs="宋体"/>
          <w:b/>
          <w:bCs/>
          <w:kern w:val="0"/>
          <w:sz w:val="44"/>
          <w:szCs w:val="44"/>
          <w:lang w:val="en-US" w:eastAsia="zh-CN"/>
        </w:rPr>
      </w:pPr>
      <w:r>
        <w:rPr>
          <w:rFonts w:hint="eastAsia" w:ascii="黑体" w:hAnsi="黑体" w:eastAsia="黑体" w:cs="宋体"/>
          <w:b/>
          <w:bCs/>
          <w:kern w:val="0"/>
          <w:sz w:val="44"/>
          <w:szCs w:val="44"/>
          <w:lang w:val="en-US" w:eastAsia="zh-CN"/>
        </w:rPr>
        <w:t>资产招租竞标细则</w:t>
      </w:r>
    </w:p>
    <w:p w14:paraId="3BA0341A">
      <w:pPr>
        <w:keepNext w:val="0"/>
        <w:keepLines w:val="0"/>
        <w:pageBreakBefore w:val="0"/>
        <w:widowControl/>
        <w:kinsoku/>
        <w:wordWrap/>
        <w:overflowPunct/>
        <w:topLinePunct w:val="0"/>
        <w:autoSpaceDE/>
        <w:autoSpaceDN/>
        <w:bidi w:val="0"/>
        <w:adjustRightInd/>
        <w:snapToGrid/>
        <w:spacing w:line="560" w:lineRule="exact"/>
        <w:ind w:firstLine="555"/>
        <w:jc w:val="both"/>
        <w:textAlignment w:val="auto"/>
        <w:rPr>
          <w:rFonts w:hint="eastAsia" w:ascii="仿宋" w:hAnsi="仿宋" w:eastAsia="仿宋" w:cs="仿宋"/>
          <w:b w:val="0"/>
          <w:bCs w:val="0"/>
          <w:color w:val="000000"/>
          <w:kern w:val="0"/>
          <w:sz w:val="32"/>
          <w:szCs w:val="32"/>
        </w:rPr>
      </w:pPr>
    </w:p>
    <w:p w14:paraId="6C0DFCE5">
      <w:pPr>
        <w:keepNext w:val="0"/>
        <w:keepLines w:val="0"/>
        <w:pageBreakBefore w:val="0"/>
        <w:widowControl/>
        <w:kinsoku/>
        <w:wordWrap/>
        <w:overflowPunct/>
        <w:topLinePunct w:val="0"/>
        <w:autoSpaceDE/>
        <w:autoSpaceDN/>
        <w:bidi w:val="0"/>
        <w:adjustRightInd/>
        <w:snapToGrid/>
        <w:spacing w:line="560" w:lineRule="exact"/>
        <w:ind w:firstLine="555"/>
        <w:jc w:val="both"/>
        <w:textAlignment w:val="auto"/>
        <w:rPr>
          <w:rFonts w:hint="eastAsia" w:ascii="仿宋" w:hAnsi="仿宋" w:eastAsia="仿宋" w:cs="仿宋"/>
          <w:b w:val="0"/>
          <w:bCs w:val="0"/>
          <w:color w:val="000000"/>
          <w:kern w:val="0"/>
          <w:sz w:val="32"/>
          <w:szCs w:val="32"/>
        </w:rPr>
      </w:pPr>
      <w:r>
        <w:rPr>
          <w:rFonts w:hint="eastAsia" w:ascii="仿宋" w:hAnsi="仿宋" w:eastAsia="仿宋" w:cs="仿宋"/>
          <w:b w:val="0"/>
          <w:bCs w:val="0"/>
          <w:color w:val="000000"/>
          <w:kern w:val="0"/>
          <w:sz w:val="32"/>
          <w:szCs w:val="32"/>
        </w:rPr>
        <w:t>为规范国有资产出租行为，确保国有资产的保值、增值，根据《中华人民共和国企业国有资产法》和厦门市国资委《关于规范国有企业资产出租管理的指导意见》（厦国资产〔2022〕361号）等规定，制定本规则。</w:t>
      </w:r>
    </w:p>
    <w:p w14:paraId="16DE8756">
      <w:pPr>
        <w:keepNext w:val="0"/>
        <w:keepLines w:val="0"/>
        <w:pageBreakBefore w:val="0"/>
        <w:widowControl/>
        <w:kinsoku/>
        <w:wordWrap/>
        <w:overflowPunct/>
        <w:topLinePunct w:val="0"/>
        <w:autoSpaceDE/>
        <w:autoSpaceDN/>
        <w:bidi w:val="0"/>
        <w:adjustRightInd/>
        <w:snapToGrid/>
        <w:spacing w:line="560" w:lineRule="exact"/>
        <w:ind w:firstLine="555"/>
        <w:jc w:val="both"/>
        <w:textAlignment w:val="auto"/>
        <w:rPr>
          <w:rFonts w:hint="eastAsia" w:ascii="仿宋" w:hAnsi="仿宋" w:eastAsia="仿宋" w:cs="仿宋"/>
          <w:b w:val="0"/>
          <w:bCs w:val="0"/>
          <w:color w:val="000000"/>
          <w:kern w:val="0"/>
          <w:sz w:val="32"/>
          <w:szCs w:val="32"/>
        </w:rPr>
      </w:pPr>
      <w:r>
        <w:rPr>
          <w:rFonts w:hint="eastAsia" w:ascii="仿宋" w:hAnsi="仿宋" w:eastAsia="仿宋" w:cs="仿宋"/>
          <w:b w:val="0"/>
          <w:bCs w:val="0"/>
          <w:color w:val="000000"/>
          <w:kern w:val="0"/>
          <w:sz w:val="32"/>
          <w:szCs w:val="32"/>
        </w:rPr>
        <w:t>一、招租方式</w:t>
      </w:r>
    </w:p>
    <w:p w14:paraId="67434F20">
      <w:pPr>
        <w:keepNext w:val="0"/>
        <w:keepLines w:val="0"/>
        <w:pageBreakBefore w:val="0"/>
        <w:widowControl/>
        <w:kinsoku/>
        <w:wordWrap/>
        <w:overflowPunct/>
        <w:topLinePunct w:val="0"/>
        <w:autoSpaceDE/>
        <w:autoSpaceDN/>
        <w:bidi w:val="0"/>
        <w:adjustRightInd/>
        <w:snapToGrid/>
        <w:spacing w:line="560" w:lineRule="exact"/>
        <w:ind w:firstLine="555"/>
        <w:jc w:val="both"/>
        <w:textAlignment w:val="auto"/>
        <w:rPr>
          <w:rFonts w:hint="eastAsia"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val="en-US" w:eastAsia="zh-CN"/>
        </w:rPr>
        <w:t>本次竞标采用网上公开竞价方式进行。</w:t>
      </w:r>
    </w:p>
    <w:p w14:paraId="3BD5367D">
      <w:pPr>
        <w:keepNext w:val="0"/>
        <w:keepLines w:val="0"/>
        <w:pageBreakBefore w:val="0"/>
        <w:widowControl/>
        <w:kinsoku/>
        <w:wordWrap/>
        <w:overflowPunct/>
        <w:topLinePunct w:val="0"/>
        <w:autoSpaceDE/>
        <w:autoSpaceDN/>
        <w:bidi w:val="0"/>
        <w:adjustRightInd/>
        <w:snapToGrid/>
        <w:spacing w:line="560" w:lineRule="exact"/>
        <w:ind w:firstLine="555"/>
        <w:jc w:val="both"/>
        <w:textAlignment w:val="auto"/>
        <w:rPr>
          <w:rFonts w:hint="eastAsia" w:ascii="仿宋" w:hAnsi="仿宋" w:eastAsia="仿宋" w:cs="仿宋"/>
          <w:b w:val="0"/>
          <w:bCs w:val="0"/>
          <w:color w:val="000000"/>
          <w:kern w:val="0"/>
          <w:sz w:val="32"/>
          <w:szCs w:val="32"/>
        </w:rPr>
      </w:pPr>
      <w:r>
        <w:rPr>
          <w:rFonts w:hint="eastAsia" w:ascii="仿宋" w:hAnsi="仿宋" w:eastAsia="仿宋" w:cs="仿宋"/>
          <w:b w:val="0"/>
          <w:bCs w:val="0"/>
          <w:color w:val="000000"/>
          <w:kern w:val="0"/>
          <w:sz w:val="32"/>
          <w:szCs w:val="32"/>
        </w:rPr>
        <w:t>二、招租说明</w:t>
      </w:r>
    </w:p>
    <w:p w14:paraId="7A692BD3">
      <w:pPr>
        <w:keepNext w:val="0"/>
        <w:keepLines w:val="0"/>
        <w:pageBreakBefore w:val="0"/>
        <w:widowControl/>
        <w:kinsoku/>
        <w:wordWrap/>
        <w:overflowPunct/>
        <w:topLinePunct w:val="0"/>
        <w:autoSpaceDE/>
        <w:autoSpaceDN/>
        <w:bidi w:val="0"/>
        <w:adjustRightInd/>
        <w:snapToGrid/>
        <w:spacing w:line="560" w:lineRule="exact"/>
        <w:ind w:firstLine="555"/>
        <w:jc w:val="both"/>
        <w:textAlignment w:val="auto"/>
        <w:rPr>
          <w:rFonts w:hint="eastAsia" w:ascii="仿宋" w:hAnsi="仿宋" w:eastAsia="仿宋" w:cs="仿宋"/>
          <w:b w:val="0"/>
          <w:bCs w:val="0"/>
          <w:color w:val="000000"/>
          <w:kern w:val="0"/>
          <w:sz w:val="32"/>
          <w:szCs w:val="32"/>
        </w:rPr>
      </w:pPr>
      <w:r>
        <w:rPr>
          <w:rFonts w:hint="eastAsia" w:ascii="仿宋" w:hAnsi="仿宋" w:eastAsia="仿宋" w:cs="仿宋"/>
          <w:b w:val="0"/>
          <w:bCs w:val="0"/>
          <w:color w:val="000000"/>
          <w:kern w:val="0"/>
          <w:sz w:val="32"/>
          <w:szCs w:val="32"/>
        </w:rPr>
        <w:t>（一）均以标的物的现状招租。</w:t>
      </w:r>
    </w:p>
    <w:p w14:paraId="41664153">
      <w:pPr>
        <w:keepNext w:val="0"/>
        <w:keepLines w:val="0"/>
        <w:pageBreakBefore w:val="0"/>
        <w:widowControl/>
        <w:kinsoku/>
        <w:wordWrap/>
        <w:overflowPunct/>
        <w:topLinePunct w:val="0"/>
        <w:autoSpaceDE/>
        <w:autoSpaceDN/>
        <w:bidi w:val="0"/>
        <w:adjustRightInd/>
        <w:snapToGrid/>
        <w:spacing w:line="560" w:lineRule="exact"/>
        <w:ind w:firstLine="555"/>
        <w:jc w:val="both"/>
        <w:textAlignment w:val="auto"/>
        <w:rPr>
          <w:rFonts w:hint="eastAsia" w:ascii="仿宋" w:hAnsi="仿宋" w:eastAsia="仿宋" w:cs="仿宋"/>
          <w:b w:val="0"/>
          <w:bCs w:val="0"/>
          <w:color w:val="000000"/>
          <w:kern w:val="0"/>
          <w:sz w:val="32"/>
          <w:szCs w:val="32"/>
        </w:rPr>
      </w:pPr>
      <w:r>
        <w:rPr>
          <w:rFonts w:hint="eastAsia" w:ascii="仿宋" w:hAnsi="仿宋" w:eastAsia="仿宋" w:cs="仿宋"/>
          <w:b w:val="0"/>
          <w:bCs w:val="0"/>
          <w:color w:val="000000"/>
          <w:kern w:val="0"/>
          <w:sz w:val="32"/>
          <w:szCs w:val="32"/>
        </w:rPr>
        <w:t>（二）竞标人可根据需要自行到现场进行踏勘，对拟承租房屋现状及其周围环境进行勘察，以获取有关签署合同所需了解的全部情况。竞标人一旦报名，即视为竞标人对招租标的物现场已经进行踏勘、充分知悉招租标的物的实际情况。</w:t>
      </w:r>
    </w:p>
    <w:p w14:paraId="06677768">
      <w:pPr>
        <w:keepNext w:val="0"/>
        <w:keepLines w:val="0"/>
        <w:pageBreakBefore w:val="0"/>
        <w:widowControl/>
        <w:kinsoku/>
        <w:wordWrap/>
        <w:overflowPunct/>
        <w:topLinePunct w:val="0"/>
        <w:autoSpaceDE/>
        <w:autoSpaceDN/>
        <w:bidi w:val="0"/>
        <w:adjustRightInd/>
        <w:snapToGrid/>
        <w:spacing w:line="560" w:lineRule="exact"/>
        <w:ind w:firstLine="555"/>
        <w:jc w:val="both"/>
        <w:textAlignment w:val="auto"/>
        <w:rPr>
          <w:rFonts w:hint="eastAsia" w:ascii="仿宋" w:hAnsi="仿宋" w:eastAsia="仿宋" w:cs="仿宋"/>
          <w:b w:val="0"/>
          <w:bCs w:val="0"/>
          <w:color w:val="000000"/>
          <w:kern w:val="0"/>
          <w:sz w:val="32"/>
          <w:szCs w:val="32"/>
        </w:rPr>
      </w:pPr>
      <w:r>
        <w:rPr>
          <w:rFonts w:hint="eastAsia" w:ascii="仿宋" w:hAnsi="仿宋" w:eastAsia="仿宋" w:cs="仿宋"/>
          <w:b w:val="0"/>
          <w:bCs w:val="0"/>
          <w:color w:val="000000"/>
          <w:kern w:val="0"/>
          <w:sz w:val="32"/>
          <w:szCs w:val="32"/>
        </w:rPr>
        <w:t>（三）竞标人必须切实履行招租文件中对报价的承诺，否则，招标人有权取消其中标资格，且不予退还竞标保证金。成交后，承租人不得提出任何异议，包括但不限于未踏勘现场、未充分知悉招租标的物实际情况等，不得提出不予签订合同或要求调整租赁条件或要求赔偿等。</w:t>
      </w:r>
    </w:p>
    <w:p w14:paraId="7000434D">
      <w:pPr>
        <w:keepNext w:val="0"/>
        <w:keepLines w:val="0"/>
        <w:pageBreakBefore w:val="0"/>
        <w:widowControl/>
        <w:kinsoku/>
        <w:wordWrap/>
        <w:overflowPunct/>
        <w:topLinePunct w:val="0"/>
        <w:autoSpaceDE/>
        <w:autoSpaceDN/>
        <w:bidi w:val="0"/>
        <w:adjustRightInd/>
        <w:snapToGrid/>
        <w:spacing w:line="560" w:lineRule="exact"/>
        <w:ind w:firstLine="555"/>
        <w:jc w:val="both"/>
        <w:textAlignment w:val="auto"/>
        <w:rPr>
          <w:rFonts w:hint="eastAsia" w:ascii="仿宋" w:hAnsi="仿宋" w:eastAsia="仿宋" w:cs="仿宋"/>
          <w:b w:val="0"/>
          <w:bCs w:val="0"/>
          <w:color w:val="000000"/>
          <w:kern w:val="0"/>
          <w:sz w:val="32"/>
          <w:szCs w:val="32"/>
        </w:rPr>
      </w:pPr>
      <w:r>
        <w:rPr>
          <w:rFonts w:hint="eastAsia" w:ascii="仿宋" w:hAnsi="仿宋" w:eastAsia="仿宋" w:cs="仿宋"/>
          <w:b w:val="0"/>
          <w:bCs w:val="0"/>
          <w:color w:val="000000"/>
          <w:kern w:val="0"/>
          <w:sz w:val="32"/>
          <w:szCs w:val="32"/>
        </w:rPr>
        <w:t>三、报名确认</w:t>
      </w:r>
    </w:p>
    <w:p w14:paraId="2E946E82">
      <w:pPr>
        <w:keepNext w:val="0"/>
        <w:keepLines w:val="0"/>
        <w:pageBreakBefore w:val="0"/>
        <w:widowControl/>
        <w:kinsoku/>
        <w:wordWrap/>
        <w:overflowPunct/>
        <w:topLinePunct w:val="0"/>
        <w:autoSpaceDE/>
        <w:autoSpaceDN/>
        <w:bidi w:val="0"/>
        <w:adjustRightInd/>
        <w:snapToGrid/>
        <w:spacing w:line="560" w:lineRule="exact"/>
        <w:ind w:firstLine="555"/>
        <w:jc w:val="both"/>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lang w:val="en-US" w:eastAsia="zh-CN"/>
        </w:rPr>
        <w:t>一）</w:t>
      </w:r>
      <w:r>
        <w:rPr>
          <w:rFonts w:hint="eastAsia" w:ascii="仿宋" w:hAnsi="仿宋" w:eastAsia="仿宋" w:cs="仿宋"/>
          <w:color w:val="000000"/>
          <w:kern w:val="0"/>
          <w:sz w:val="32"/>
          <w:szCs w:val="32"/>
        </w:rPr>
        <w:t>竞标人在报名前须向</w:t>
      </w:r>
      <w:r>
        <w:rPr>
          <w:rFonts w:hint="eastAsia" w:ascii="仿宋" w:hAnsi="仿宋" w:eastAsia="仿宋" w:cs="仿宋"/>
          <w:b w:val="0"/>
          <w:bCs w:val="0"/>
          <w:color w:val="000000"/>
          <w:kern w:val="0"/>
          <w:sz w:val="32"/>
          <w:szCs w:val="32"/>
        </w:rPr>
        <w:t>招标人</w:t>
      </w:r>
      <w:r>
        <w:rPr>
          <w:rFonts w:hint="eastAsia" w:ascii="仿宋" w:hAnsi="仿宋" w:eastAsia="仿宋" w:cs="仿宋"/>
          <w:color w:val="000000"/>
          <w:kern w:val="0"/>
          <w:sz w:val="32"/>
          <w:szCs w:val="32"/>
        </w:rPr>
        <w:t>提供营业执照或身份证复印件、中国裁判文书网检索数据信息及国家企业信用信息公示系统检索数据信息等证明材料。</w:t>
      </w:r>
      <w:r>
        <w:rPr>
          <w:rFonts w:hint="eastAsia" w:ascii="仿宋" w:hAnsi="仿宋" w:eastAsia="仿宋"/>
          <w:color w:val="auto"/>
          <w:sz w:val="32"/>
          <w:szCs w:val="32"/>
          <w:lang w:bidi="ar"/>
        </w:rPr>
        <w:t>竞标人提交的纸质报名材料概不退还。</w:t>
      </w:r>
    </w:p>
    <w:p w14:paraId="003592B8">
      <w:pPr>
        <w:keepNext w:val="0"/>
        <w:keepLines w:val="0"/>
        <w:pageBreakBefore w:val="0"/>
        <w:widowControl/>
        <w:kinsoku/>
        <w:wordWrap/>
        <w:overflowPunct/>
        <w:topLinePunct w:val="0"/>
        <w:autoSpaceDE/>
        <w:autoSpaceDN/>
        <w:bidi w:val="0"/>
        <w:adjustRightInd/>
        <w:snapToGrid/>
        <w:spacing w:line="560" w:lineRule="exact"/>
        <w:ind w:firstLine="555"/>
        <w:jc w:val="both"/>
        <w:textAlignment w:val="auto"/>
        <w:rPr>
          <w:rFonts w:ascii="仿宋" w:hAnsi="仿宋" w:eastAsia="仿宋"/>
          <w:color w:val="auto"/>
          <w:sz w:val="32"/>
          <w:szCs w:val="32"/>
          <w:lang w:bidi="ar"/>
        </w:rPr>
      </w:pP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lang w:val="en-US" w:eastAsia="zh-CN"/>
        </w:rPr>
        <w:t>二）</w:t>
      </w:r>
      <w:r>
        <w:rPr>
          <w:rFonts w:hint="eastAsia" w:ascii="仿宋" w:hAnsi="仿宋" w:eastAsia="仿宋" w:cs="仿宋"/>
          <w:color w:val="000000"/>
          <w:kern w:val="0"/>
          <w:sz w:val="32"/>
          <w:szCs w:val="32"/>
        </w:rPr>
        <w:t>符合报名资格的投标人，</w:t>
      </w:r>
      <w:r>
        <w:rPr>
          <w:rFonts w:hint="eastAsia" w:ascii="仿宋" w:hAnsi="仿宋" w:eastAsia="仿宋" w:cs="仿宋"/>
          <w:color w:val="000000"/>
          <w:kern w:val="0"/>
          <w:sz w:val="32"/>
          <w:szCs w:val="32"/>
          <w:lang w:val="en-US" w:eastAsia="zh-CN"/>
        </w:rPr>
        <w:t>须</w:t>
      </w:r>
      <w:r>
        <w:rPr>
          <w:rFonts w:hint="eastAsia" w:ascii="仿宋" w:hAnsi="仿宋" w:eastAsia="仿宋" w:cs="仿宋"/>
          <w:color w:val="000000"/>
          <w:kern w:val="0"/>
          <w:sz w:val="32"/>
          <w:szCs w:val="32"/>
        </w:rPr>
        <w:t>于缴交竞标保证金截止时间前，法人单位的竞标人须持有法人营业执照（事业单位和社团组织持法人登记证书）和法定代表人身份证扫描件，自然人的竞标人须持有效的身份证扫描件到招标人竞标平台注册报名，经招标人审核后，方可取得参加竞标的资格。</w:t>
      </w:r>
    </w:p>
    <w:p w14:paraId="0EA85B9B">
      <w:pPr>
        <w:keepNext w:val="0"/>
        <w:keepLines w:val="0"/>
        <w:pageBreakBefore w:val="0"/>
        <w:widowControl/>
        <w:kinsoku/>
        <w:wordWrap/>
        <w:overflowPunct/>
        <w:topLinePunct w:val="0"/>
        <w:autoSpaceDE/>
        <w:autoSpaceDN/>
        <w:bidi w:val="0"/>
        <w:adjustRightInd/>
        <w:snapToGrid/>
        <w:spacing w:line="560" w:lineRule="exact"/>
        <w:ind w:firstLine="555"/>
        <w:jc w:val="both"/>
        <w:textAlignment w:val="auto"/>
        <w:rPr>
          <w:rFonts w:hint="eastAsia" w:ascii="仿宋" w:hAnsi="仿宋" w:eastAsia="仿宋" w:cs="Times New Roman"/>
          <w:b w:val="0"/>
          <w:bCs w:val="0"/>
          <w:sz w:val="32"/>
          <w:szCs w:val="32"/>
        </w:rPr>
      </w:pPr>
      <w:r>
        <w:rPr>
          <w:rFonts w:hint="eastAsia" w:ascii="仿宋" w:hAnsi="仿宋" w:eastAsia="仿宋" w:cs="Times New Roman"/>
          <w:b w:val="0"/>
          <w:bCs w:val="0"/>
          <w:sz w:val="32"/>
          <w:szCs w:val="32"/>
        </w:rPr>
        <w:t>四、网上竞标的说明</w:t>
      </w:r>
    </w:p>
    <w:p w14:paraId="00F7DAEB">
      <w:pPr>
        <w:keepNext w:val="0"/>
        <w:keepLines w:val="0"/>
        <w:pageBreakBefore w:val="0"/>
        <w:widowControl/>
        <w:kinsoku/>
        <w:wordWrap/>
        <w:overflowPunct/>
        <w:topLinePunct w:val="0"/>
        <w:autoSpaceDE/>
        <w:autoSpaceDN/>
        <w:bidi w:val="0"/>
        <w:adjustRightInd/>
        <w:snapToGrid/>
        <w:spacing w:line="560" w:lineRule="exact"/>
        <w:ind w:firstLine="555" w:firstLineChars="0"/>
        <w:jc w:val="both"/>
        <w:textAlignment w:val="auto"/>
        <w:rPr>
          <w:rFonts w:hint="eastAsia" w:ascii="仿宋" w:hAnsi="仿宋" w:eastAsia="仿宋" w:cs="Times New Roman"/>
          <w:b w:val="0"/>
          <w:bCs w:val="0"/>
          <w:kern w:val="2"/>
          <w:sz w:val="32"/>
          <w:szCs w:val="32"/>
          <w:lang w:bidi="ar"/>
        </w:rPr>
      </w:pPr>
      <w:r>
        <w:rPr>
          <w:rFonts w:hint="eastAsia" w:ascii="仿宋" w:hAnsi="仿宋" w:eastAsia="仿宋" w:cs="Times New Roman"/>
          <w:b w:val="0"/>
          <w:bCs w:val="0"/>
          <w:sz w:val="32"/>
          <w:szCs w:val="32"/>
          <w:lang w:bidi="ar"/>
        </w:rPr>
        <w:t>网上竞标由自由竞价、限时竞价阶段两个阶段组成：</w:t>
      </w:r>
    </w:p>
    <w:p w14:paraId="37A0C6A2">
      <w:pPr>
        <w:keepNext w:val="0"/>
        <w:keepLines w:val="0"/>
        <w:pageBreakBefore w:val="0"/>
        <w:widowControl/>
        <w:kinsoku/>
        <w:wordWrap/>
        <w:overflowPunct/>
        <w:topLinePunct w:val="0"/>
        <w:autoSpaceDE/>
        <w:autoSpaceDN/>
        <w:bidi w:val="0"/>
        <w:adjustRightInd/>
        <w:snapToGrid/>
        <w:spacing w:line="560" w:lineRule="exact"/>
        <w:ind w:firstLine="555"/>
        <w:textAlignment w:val="auto"/>
        <w:rPr>
          <w:rFonts w:hint="eastAsia" w:ascii="仿宋" w:hAnsi="仿宋" w:eastAsia="仿宋" w:cs="Times New Roman"/>
          <w:b w:val="0"/>
          <w:bCs w:val="0"/>
          <w:sz w:val="32"/>
          <w:szCs w:val="32"/>
          <w:lang w:bidi="ar"/>
        </w:rPr>
      </w:pPr>
      <w:r>
        <w:rPr>
          <w:rFonts w:hint="eastAsia" w:ascii="仿宋" w:hAnsi="仿宋" w:eastAsia="仿宋" w:cs="Times New Roman"/>
          <w:b w:val="0"/>
          <w:bCs w:val="0"/>
          <w:sz w:val="32"/>
          <w:szCs w:val="32"/>
          <w:lang w:bidi="ar"/>
        </w:rPr>
        <w:t>（一）自由报价期和限时报价期</w:t>
      </w:r>
    </w:p>
    <w:p w14:paraId="6F7F3182">
      <w:pPr>
        <w:keepNext w:val="0"/>
        <w:keepLines w:val="0"/>
        <w:pageBreakBefore w:val="0"/>
        <w:widowControl/>
        <w:kinsoku/>
        <w:wordWrap/>
        <w:overflowPunct/>
        <w:topLinePunct w:val="0"/>
        <w:autoSpaceDE/>
        <w:autoSpaceDN/>
        <w:bidi w:val="0"/>
        <w:adjustRightInd/>
        <w:snapToGrid/>
        <w:spacing w:line="560" w:lineRule="exact"/>
        <w:ind w:firstLine="555"/>
        <w:textAlignment w:val="auto"/>
        <w:rPr>
          <w:rFonts w:hint="eastAsia" w:ascii="仿宋" w:hAnsi="仿宋" w:eastAsia="仿宋" w:cs="Times New Roman"/>
          <w:b w:val="0"/>
          <w:bCs w:val="0"/>
          <w:sz w:val="32"/>
          <w:szCs w:val="32"/>
          <w:lang w:bidi="ar"/>
        </w:rPr>
      </w:pPr>
      <w:r>
        <w:rPr>
          <w:rFonts w:hint="eastAsia" w:ascii="仿宋" w:hAnsi="仿宋" w:eastAsia="仿宋" w:cs="Times New Roman"/>
          <w:b w:val="0"/>
          <w:bCs w:val="0"/>
          <w:sz w:val="32"/>
          <w:szCs w:val="32"/>
          <w:lang w:bidi="ar"/>
        </w:rPr>
        <w:t>报价活动分为自由报价期和限时报价期。自由报价期开始即报价活动开始，自由报价期结束后自动进入限时报价期，限时报价期结束即报价活动结束。自由报价期内是否出价不影响报价人在限时报价期内出价。限时报价期可由多个限时报价周期组成，每个限时报价周期为300秒，如在当前限时报价周期内无人出价或加价，本次报价活动自动结束；如当前限时报价周期内有人加价，则以此报价时间为起始时间进入一个新的限时报价周期，以此类推，直至某个限时报价周期内无人加价时本次报价活动自动结束。</w:t>
      </w:r>
    </w:p>
    <w:p w14:paraId="48929116">
      <w:pPr>
        <w:keepNext w:val="0"/>
        <w:keepLines w:val="0"/>
        <w:pageBreakBefore w:val="0"/>
        <w:widowControl/>
        <w:kinsoku/>
        <w:wordWrap/>
        <w:overflowPunct/>
        <w:topLinePunct w:val="0"/>
        <w:autoSpaceDE/>
        <w:autoSpaceDN/>
        <w:bidi w:val="0"/>
        <w:adjustRightInd/>
        <w:snapToGrid/>
        <w:spacing w:line="560" w:lineRule="exact"/>
        <w:ind w:firstLine="555" w:firstLineChars="0"/>
        <w:jc w:val="both"/>
        <w:textAlignment w:val="auto"/>
        <w:rPr>
          <w:rFonts w:hint="eastAsia" w:ascii="仿宋" w:hAnsi="仿宋" w:eastAsia="仿宋" w:cs="Times New Roman"/>
          <w:b w:val="0"/>
          <w:bCs w:val="0"/>
          <w:sz w:val="32"/>
          <w:szCs w:val="32"/>
          <w:lang w:bidi="ar"/>
        </w:rPr>
      </w:pPr>
      <w:r>
        <w:rPr>
          <w:rFonts w:hint="eastAsia" w:ascii="仿宋" w:hAnsi="仿宋" w:eastAsia="仿宋" w:cs="Times New Roman"/>
          <w:b w:val="0"/>
          <w:bCs w:val="0"/>
          <w:sz w:val="32"/>
          <w:szCs w:val="32"/>
          <w:lang w:bidi="ar"/>
        </w:rPr>
        <w:t>（二）优先承租权人行权</w:t>
      </w:r>
    </w:p>
    <w:p w14:paraId="25FE8212">
      <w:pPr>
        <w:keepNext w:val="0"/>
        <w:keepLines w:val="0"/>
        <w:pageBreakBefore w:val="0"/>
        <w:widowControl/>
        <w:kinsoku/>
        <w:wordWrap/>
        <w:overflowPunct/>
        <w:topLinePunct w:val="0"/>
        <w:autoSpaceDE/>
        <w:autoSpaceDN/>
        <w:bidi w:val="0"/>
        <w:adjustRightInd/>
        <w:snapToGrid/>
        <w:spacing w:line="560" w:lineRule="exact"/>
        <w:ind w:firstLine="555" w:firstLineChars="0"/>
        <w:jc w:val="both"/>
        <w:textAlignment w:val="auto"/>
        <w:rPr>
          <w:rFonts w:hint="eastAsia" w:ascii="仿宋" w:hAnsi="仿宋" w:eastAsia="仿宋" w:cs="Times New Roman"/>
          <w:b w:val="0"/>
          <w:bCs w:val="0"/>
          <w:sz w:val="32"/>
          <w:szCs w:val="32"/>
          <w:lang w:bidi="ar"/>
        </w:rPr>
      </w:pPr>
      <w:r>
        <w:rPr>
          <w:rFonts w:hint="eastAsia" w:ascii="仿宋" w:hAnsi="仿宋" w:eastAsia="仿宋" w:cs="Times New Roman"/>
          <w:b w:val="0"/>
          <w:bCs w:val="0"/>
          <w:sz w:val="32"/>
          <w:szCs w:val="32"/>
          <w:lang w:bidi="ar"/>
        </w:rPr>
        <w:t>在自由报价期间和限时报价期间内，普通报价人为最高有效报价人时，优先承租权人可以等于当前最高有效报价的价格出价进行行权，也可对当前最高有效报价进行加价，行权或加价的优先承租权人成为当前最高有效报价人。优先承租权人行权后，普通报价人须在优先承租权人行权价上进行加价方为有效。</w:t>
      </w:r>
    </w:p>
    <w:p w14:paraId="38226C01">
      <w:pPr>
        <w:keepNext w:val="0"/>
        <w:keepLines w:val="0"/>
        <w:pageBreakBefore w:val="0"/>
        <w:widowControl/>
        <w:kinsoku/>
        <w:wordWrap/>
        <w:overflowPunct/>
        <w:topLinePunct w:val="0"/>
        <w:autoSpaceDE/>
        <w:autoSpaceDN/>
        <w:bidi w:val="0"/>
        <w:adjustRightInd/>
        <w:snapToGrid/>
        <w:spacing w:line="560" w:lineRule="exact"/>
        <w:ind w:firstLine="555" w:firstLineChars="0"/>
        <w:textAlignment w:val="auto"/>
        <w:rPr>
          <w:rFonts w:hint="eastAsia" w:ascii="仿宋" w:hAnsi="仿宋" w:eastAsia="仿宋" w:cs="Times New Roman"/>
          <w:b w:val="0"/>
          <w:bCs w:val="0"/>
          <w:sz w:val="32"/>
          <w:szCs w:val="32"/>
        </w:rPr>
      </w:pPr>
      <w:r>
        <w:rPr>
          <w:rFonts w:hint="eastAsia" w:ascii="仿宋" w:hAnsi="仿宋" w:eastAsia="仿宋" w:cs="Times New Roman"/>
          <w:b w:val="0"/>
          <w:bCs w:val="0"/>
          <w:sz w:val="32"/>
          <w:szCs w:val="32"/>
        </w:rPr>
        <w:t>（三）确定中标人</w:t>
      </w:r>
    </w:p>
    <w:p w14:paraId="7E8108C0">
      <w:pPr>
        <w:keepNext w:val="0"/>
        <w:keepLines w:val="0"/>
        <w:pageBreakBefore w:val="0"/>
        <w:widowControl/>
        <w:kinsoku/>
        <w:wordWrap/>
        <w:overflowPunct/>
        <w:topLinePunct w:val="0"/>
        <w:autoSpaceDE/>
        <w:autoSpaceDN/>
        <w:bidi w:val="0"/>
        <w:adjustRightInd/>
        <w:snapToGrid/>
        <w:spacing w:line="560" w:lineRule="exact"/>
        <w:ind w:firstLine="555" w:firstLineChars="0"/>
        <w:textAlignment w:val="auto"/>
        <w:rPr>
          <w:rFonts w:hint="eastAsia" w:ascii="仿宋" w:hAnsi="仿宋" w:eastAsia="仿宋" w:cs="Times New Roman"/>
          <w:b w:val="0"/>
          <w:bCs w:val="0"/>
          <w:sz w:val="32"/>
          <w:szCs w:val="32"/>
        </w:rPr>
      </w:pPr>
      <w:r>
        <w:rPr>
          <w:rFonts w:hint="eastAsia" w:ascii="仿宋" w:hAnsi="仿宋" w:eastAsia="仿宋" w:cs="Times New Roman"/>
          <w:b w:val="0"/>
          <w:bCs w:val="0"/>
          <w:sz w:val="32"/>
          <w:szCs w:val="32"/>
        </w:rPr>
        <w:t>限时报价期内，如在当前限时报价周期内未出现新的有效报价，本次报价活动自动结束，当前最高有效报价（中标价）的报价人成为最终中标人。无人出价该标的按流标处理。</w:t>
      </w:r>
    </w:p>
    <w:p w14:paraId="3F286A0A">
      <w:pPr>
        <w:keepNext w:val="0"/>
        <w:keepLines w:val="0"/>
        <w:pageBreakBefore w:val="0"/>
        <w:widowControl/>
        <w:numPr>
          <w:ilvl w:val="0"/>
          <w:numId w:val="1"/>
        </w:numPr>
        <w:kinsoku/>
        <w:wordWrap/>
        <w:overflowPunct/>
        <w:topLinePunct w:val="0"/>
        <w:autoSpaceDE/>
        <w:autoSpaceDN/>
        <w:bidi w:val="0"/>
        <w:adjustRightInd/>
        <w:snapToGrid/>
        <w:spacing w:line="560" w:lineRule="exact"/>
        <w:ind w:firstLine="555"/>
        <w:jc w:val="both"/>
        <w:textAlignment w:val="auto"/>
        <w:rPr>
          <w:rFonts w:hint="eastAsia" w:ascii="仿宋" w:hAnsi="仿宋" w:eastAsia="仿宋" w:cs="Times New Roman"/>
          <w:b w:val="0"/>
          <w:bCs w:val="0"/>
          <w:kern w:val="2"/>
          <w:sz w:val="32"/>
          <w:szCs w:val="32"/>
        </w:rPr>
      </w:pPr>
      <w:r>
        <w:rPr>
          <w:rFonts w:hint="eastAsia" w:ascii="仿宋" w:hAnsi="仿宋" w:eastAsia="仿宋" w:cs="Times New Roman"/>
          <w:b w:val="0"/>
          <w:bCs w:val="0"/>
          <w:kern w:val="2"/>
          <w:sz w:val="32"/>
          <w:szCs w:val="32"/>
        </w:rPr>
        <w:t>合同签订和竞标保证金退还</w:t>
      </w:r>
    </w:p>
    <w:p w14:paraId="575A4918">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Times New Roman"/>
          <w:b w:val="0"/>
          <w:bCs w:val="0"/>
          <w:kern w:val="2"/>
          <w:sz w:val="32"/>
          <w:szCs w:val="32"/>
        </w:rPr>
      </w:pPr>
      <w:r>
        <w:rPr>
          <w:rFonts w:hint="eastAsia" w:ascii="仿宋" w:hAnsi="仿宋" w:eastAsia="仿宋" w:cs="Times New Roman"/>
          <w:b w:val="0"/>
          <w:bCs w:val="0"/>
          <w:kern w:val="2"/>
          <w:sz w:val="32"/>
          <w:szCs w:val="32"/>
        </w:rPr>
        <w:t>竞标未中标人交付的竞标保证金，于竞标结束后次日起10个工作日内全额无息退还。</w:t>
      </w:r>
    </w:p>
    <w:p w14:paraId="1EE1B03D">
      <w:pPr>
        <w:keepNext w:val="0"/>
        <w:keepLines w:val="0"/>
        <w:pageBreakBefore w:val="0"/>
        <w:widowControl/>
        <w:kinsoku/>
        <w:wordWrap/>
        <w:overflowPunct/>
        <w:topLinePunct w:val="0"/>
        <w:autoSpaceDE/>
        <w:autoSpaceDN/>
        <w:bidi w:val="0"/>
        <w:adjustRightInd/>
        <w:snapToGrid/>
        <w:spacing w:line="560" w:lineRule="exact"/>
        <w:ind w:firstLine="555" w:firstLineChars="0"/>
        <w:jc w:val="both"/>
        <w:textAlignment w:val="auto"/>
        <w:rPr>
          <w:rFonts w:hint="eastAsia" w:ascii="仿宋" w:hAnsi="仿宋" w:eastAsia="仿宋" w:cs="Times New Roman"/>
          <w:b w:val="0"/>
          <w:bCs w:val="0"/>
          <w:kern w:val="2"/>
          <w:sz w:val="32"/>
          <w:szCs w:val="32"/>
        </w:rPr>
      </w:pPr>
      <w:r>
        <w:rPr>
          <w:rFonts w:hint="eastAsia" w:ascii="仿宋" w:hAnsi="仿宋" w:eastAsia="仿宋" w:cs="Times New Roman"/>
          <w:b w:val="0"/>
          <w:bCs w:val="0"/>
          <w:kern w:val="2"/>
          <w:sz w:val="32"/>
          <w:szCs w:val="32"/>
        </w:rPr>
        <w:t>中标人须于中标后5个工作日内与招标人签订《厦门嘉庚体育馆场地租赁合同》</w:t>
      </w:r>
      <w:r>
        <w:rPr>
          <w:rFonts w:hint="eastAsia" w:ascii="仿宋" w:hAnsi="仿宋" w:eastAsia="仿宋" w:cs="Times New Roman"/>
          <w:b w:val="0"/>
          <w:bCs w:val="0"/>
          <w:kern w:val="2"/>
          <w:sz w:val="32"/>
          <w:szCs w:val="32"/>
          <w:lang w:eastAsia="zh-CN"/>
        </w:rPr>
        <w:t>。</w:t>
      </w:r>
      <w:r>
        <w:rPr>
          <w:rFonts w:hint="eastAsia" w:ascii="仿宋" w:hAnsi="仿宋" w:eastAsia="仿宋" w:cs="Times New Roman"/>
          <w:b w:val="0"/>
          <w:bCs w:val="0"/>
          <w:kern w:val="2"/>
          <w:sz w:val="32"/>
          <w:szCs w:val="32"/>
        </w:rPr>
        <w:t>合同签订后，中标人已交付的竞标保证金自动转为场地租赁保证金和第一期租费，不足部分中标人应在签订《厦门嘉庚体育馆场地租赁合同》后3个工作日补足</w:t>
      </w:r>
      <w:r>
        <w:rPr>
          <w:rFonts w:hint="eastAsia" w:ascii="仿宋" w:hAnsi="仿宋" w:eastAsia="仿宋" w:cs="Times New Roman"/>
          <w:b w:val="0"/>
          <w:bCs w:val="0"/>
          <w:kern w:val="2"/>
          <w:sz w:val="32"/>
          <w:szCs w:val="32"/>
          <w:lang w:val="en-US" w:eastAsia="zh-CN"/>
        </w:rPr>
        <w:t>；</w:t>
      </w:r>
      <w:r>
        <w:rPr>
          <w:rFonts w:hint="eastAsia" w:ascii="仿宋" w:hAnsi="仿宋" w:eastAsia="仿宋" w:cs="Times New Roman"/>
          <w:b w:val="0"/>
          <w:bCs w:val="0"/>
          <w:kern w:val="2"/>
          <w:sz w:val="32"/>
          <w:szCs w:val="32"/>
        </w:rPr>
        <w:t>超过场地租赁保证金和第一期租费之和的部分竞标保证金，待中标人办理完房产移交手续后，自动转为下一期租金。逾期未签订合同</w:t>
      </w:r>
      <w:r>
        <w:rPr>
          <w:rFonts w:hint="eastAsia" w:ascii="仿宋" w:hAnsi="仿宋" w:eastAsia="仿宋" w:cs="Times New Roman"/>
          <w:b w:val="0"/>
          <w:bCs w:val="0"/>
          <w:kern w:val="2"/>
          <w:sz w:val="32"/>
          <w:szCs w:val="32"/>
          <w:lang w:val="en-US" w:eastAsia="zh-CN"/>
        </w:rPr>
        <w:t>的</w:t>
      </w:r>
      <w:r>
        <w:rPr>
          <w:rFonts w:hint="eastAsia" w:ascii="仿宋" w:hAnsi="仿宋" w:eastAsia="仿宋" w:cs="Times New Roman"/>
          <w:b w:val="0"/>
          <w:bCs w:val="0"/>
          <w:kern w:val="2"/>
          <w:sz w:val="32"/>
          <w:szCs w:val="32"/>
        </w:rPr>
        <w:t>，则视为中标人违约，招标人不予退还竞标人的竞标保证金，且有权取消竞标人的中标资格，招标人有权重新招租。</w:t>
      </w:r>
    </w:p>
    <w:p w14:paraId="3FAACDDF">
      <w:pPr>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lang w:val="en-US" w:eastAsia="zh-CN"/>
        </w:rPr>
        <w:t>六</w:t>
      </w:r>
      <w:r>
        <w:rPr>
          <w:rFonts w:hint="eastAsia" w:ascii="仿宋" w:hAnsi="仿宋" w:eastAsia="仿宋" w:cs="仿宋"/>
          <w:b w:val="0"/>
          <w:bCs w:val="0"/>
          <w:kern w:val="0"/>
          <w:sz w:val="32"/>
          <w:szCs w:val="32"/>
        </w:rPr>
        <w:t>、招标人有权取消中标人中标资格的情形</w:t>
      </w:r>
    </w:p>
    <w:p w14:paraId="06B6C1BE">
      <w:pPr>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有下列情形之一的，招标人有权取消中标人的中标资格且不视为招标人违约。</w:t>
      </w:r>
    </w:p>
    <w:p w14:paraId="0225DCCD">
      <w:pPr>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1.政府相关部门以函件、信件等反映中标人租赁标的房产后可能存在引发社会矛盾、影响社会和谐及违反社会治安综合治理相关规定行为的；</w:t>
      </w:r>
    </w:p>
    <w:p w14:paraId="67BD01AB">
      <w:pPr>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2.中标人被政府、司法等有关部门、第三方信用机构列入失信名单等的；</w:t>
      </w:r>
    </w:p>
    <w:p w14:paraId="739F4988">
      <w:pPr>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3. 中标人有恶意违约、拖欠租金等违约行为；或存在违约诉讼情形等的；</w:t>
      </w:r>
    </w:p>
    <w:p w14:paraId="38CFC910">
      <w:pPr>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4. 中标人提供虚假报名材料等的。</w:t>
      </w:r>
    </w:p>
    <w:p w14:paraId="0B687300">
      <w:pPr>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lang w:val="en-US" w:eastAsia="zh-CN"/>
        </w:rPr>
        <w:t>七</w:t>
      </w:r>
      <w:r>
        <w:rPr>
          <w:rFonts w:hint="eastAsia" w:ascii="仿宋" w:hAnsi="仿宋" w:eastAsia="仿宋" w:cs="仿宋"/>
          <w:b w:val="0"/>
          <w:bCs w:val="0"/>
          <w:kern w:val="0"/>
          <w:sz w:val="32"/>
          <w:szCs w:val="32"/>
        </w:rPr>
        <w:t>、名词解释</w:t>
      </w:r>
    </w:p>
    <w:p w14:paraId="5842DB3C">
      <w:pPr>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1. 招标人：指对房产出租提出招标、组织招标的法人单位或者其他组织，本规则中的招标人为厦门宝达投资有限公司。</w:t>
      </w:r>
    </w:p>
    <w:p w14:paraId="088F0ECC">
      <w:pPr>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2. 原承租人：指招标标的在本次招标前的上一期承租人。</w:t>
      </w:r>
    </w:p>
    <w:p w14:paraId="637A58F3">
      <w:pPr>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3. 投标人：指响应招标、参加投标竞争的自然人、法人或者其他组织。</w:t>
      </w:r>
    </w:p>
    <w:p w14:paraId="50E9304D">
      <w:pPr>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4. 中标人：指响应招标、参加投标竞标，并最终中标的自然人、法人或者其他组织。</w:t>
      </w:r>
    </w:p>
    <w:p w14:paraId="29528A22">
      <w:pPr>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eastAsia"/>
        </w:rPr>
      </w:pPr>
      <w:r>
        <w:rPr>
          <w:rFonts w:hint="eastAsia" w:ascii="仿宋" w:hAnsi="仿宋" w:eastAsia="仿宋" w:cs="仿宋"/>
          <w:b w:val="0"/>
          <w:bCs w:val="0"/>
          <w:kern w:val="0"/>
          <w:sz w:val="32"/>
          <w:szCs w:val="32"/>
          <w:lang w:val="en-US" w:eastAsia="zh-CN"/>
        </w:rPr>
        <w:t>八</w:t>
      </w:r>
      <w:r>
        <w:rPr>
          <w:rFonts w:hint="eastAsia" w:ascii="仿宋" w:hAnsi="仿宋" w:eastAsia="仿宋" w:cs="仿宋"/>
          <w:b w:val="0"/>
          <w:bCs w:val="0"/>
          <w:kern w:val="0"/>
          <w:sz w:val="32"/>
          <w:szCs w:val="32"/>
        </w:rPr>
        <w:t>、本竞标规则的最终解释权归招标人。</w:t>
      </w:r>
    </w:p>
    <w:p w14:paraId="0EFA450D">
      <w:pPr>
        <w:keepNext w:val="0"/>
        <w:keepLines w:val="0"/>
        <w:pageBreakBefore w:val="0"/>
        <w:kinsoku/>
        <w:wordWrap/>
        <w:overflowPunct/>
        <w:topLinePunct w:val="0"/>
        <w:autoSpaceDE/>
        <w:autoSpaceDN/>
        <w:bidi w:val="0"/>
        <w:adjustRightInd/>
        <w:snapToGrid/>
        <w:spacing w:line="560" w:lineRule="exact"/>
        <w:ind w:left="6200" w:leftChars="1900" w:right="-25" w:rightChars="0" w:hanging="310" w:hangingChars="100"/>
        <w:textAlignment w:val="auto"/>
        <w:rPr>
          <w:rFonts w:hint="eastAsia"/>
          <w:lang w:val="en-US" w:eastAsia="zh-CN"/>
        </w:rPr>
      </w:pPr>
    </w:p>
    <w:p w14:paraId="7192BC65">
      <w:pPr>
        <w:keepNext w:val="0"/>
        <w:keepLines w:val="0"/>
        <w:pageBreakBefore w:val="0"/>
        <w:kinsoku/>
        <w:wordWrap/>
        <w:overflowPunct/>
        <w:topLinePunct w:val="0"/>
        <w:autoSpaceDE/>
        <w:autoSpaceDN/>
        <w:bidi w:val="0"/>
        <w:adjustRightInd/>
        <w:snapToGrid/>
        <w:spacing w:line="560" w:lineRule="exact"/>
        <w:ind w:left="6200" w:leftChars="1900" w:right="-25" w:rightChars="0" w:hanging="310" w:hangingChars="100"/>
        <w:textAlignment w:val="auto"/>
        <w:rPr>
          <w:rFonts w:hint="eastAsia"/>
          <w:lang w:val="en-US" w:eastAsia="zh-CN"/>
        </w:rPr>
      </w:pPr>
      <w:r>
        <w:rPr>
          <w:rFonts w:hint="eastAsia"/>
          <w:lang w:val="en-US" w:eastAsia="zh-CN"/>
        </w:rPr>
        <w:t xml:space="preserve">                      </w:t>
      </w:r>
    </w:p>
    <w:p w14:paraId="381C474A">
      <w:pPr>
        <w:keepNext w:val="0"/>
        <w:keepLines w:val="0"/>
        <w:pageBreakBefore w:val="0"/>
        <w:kinsoku/>
        <w:wordWrap/>
        <w:overflowPunct/>
        <w:topLinePunct w:val="0"/>
        <w:autoSpaceDE/>
        <w:autoSpaceDN/>
        <w:bidi w:val="0"/>
        <w:adjustRightInd/>
        <w:snapToGrid/>
        <w:spacing w:line="560" w:lineRule="exact"/>
        <w:ind w:left="5580" w:leftChars="1600" w:right="-25" w:rightChars="0" w:hanging="620" w:hangingChars="200"/>
        <w:textAlignment w:val="auto"/>
        <w:rPr>
          <w:rFonts w:hint="eastAsia"/>
          <w:sz w:val="28"/>
          <w:szCs w:val="28"/>
        </w:rPr>
      </w:pPr>
      <w:r>
        <w:rPr>
          <w:rFonts w:hint="eastAsia"/>
          <w:lang w:val="en-US" w:eastAsia="zh-CN"/>
        </w:rPr>
        <w:t>厦门宝达投资有限公司                                 2026年6月12</w:t>
      </w:r>
      <w:bookmarkStart w:id="0" w:name="_GoBack"/>
      <w:bookmarkEnd w:id="0"/>
      <w:r>
        <w:rPr>
          <w:rFonts w:hint="eastAsia"/>
          <w:lang w:val="en-US" w:eastAsia="zh-CN"/>
        </w:rPr>
        <w:t>日</w:t>
      </w:r>
    </w:p>
    <w:p w14:paraId="6A7B1727">
      <w:pPr>
        <w:widowControl/>
        <w:spacing w:line="540" w:lineRule="exact"/>
        <w:ind w:firstLine="560"/>
        <w:rPr>
          <w:rFonts w:hint="default" w:eastAsia="仿宋_GB2312"/>
          <w:lang w:val="en-US" w:eastAsia="zh-CN"/>
        </w:rPr>
      </w:pPr>
      <w:r>
        <w:rPr>
          <w:rFonts w:hint="eastAsia"/>
          <w:lang w:val="en-US" w:eastAsia="zh-CN"/>
        </w:rPr>
        <w:t xml:space="preserve">    </w:t>
      </w:r>
    </w:p>
    <w:sectPr>
      <w:pgSz w:w="11906" w:h="16838"/>
      <w:pgMar w:top="1440" w:right="1803" w:bottom="1383" w:left="180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32987B"/>
    <w:multiLevelType w:val="singleLevel"/>
    <w:tmpl w:val="F932987B"/>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xMWY5ZjhkNzlhY2VhYjBmNmE4YjcyODI2NDRhMGQifQ=="/>
  </w:docVars>
  <w:rsids>
    <w:rsidRoot w:val="00EA2D1D"/>
    <w:rsid w:val="000173F2"/>
    <w:rsid w:val="00091063"/>
    <w:rsid w:val="000F111D"/>
    <w:rsid w:val="0012568E"/>
    <w:rsid w:val="00556BDB"/>
    <w:rsid w:val="00587423"/>
    <w:rsid w:val="00671722"/>
    <w:rsid w:val="00EA2D1D"/>
    <w:rsid w:val="01E93871"/>
    <w:rsid w:val="06216155"/>
    <w:rsid w:val="06B17648"/>
    <w:rsid w:val="08150809"/>
    <w:rsid w:val="0DB43D8C"/>
    <w:rsid w:val="11905101"/>
    <w:rsid w:val="12E11E32"/>
    <w:rsid w:val="13404892"/>
    <w:rsid w:val="13DB3D64"/>
    <w:rsid w:val="20E77775"/>
    <w:rsid w:val="210D298C"/>
    <w:rsid w:val="24373BDB"/>
    <w:rsid w:val="27435A91"/>
    <w:rsid w:val="2A1D0A50"/>
    <w:rsid w:val="2B8A1230"/>
    <w:rsid w:val="2E120490"/>
    <w:rsid w:val="2E2F4C7A"/>
    <w:rsid w:val="39F93EFD"/>
    <w:rsid w:val="3B101D21"/>
    <w:rsid w:val="3CC37342"/>
    <w:rsid w:val="3CFE02B0"/>
    <w:rsid w:val="426623FD"/>
    <w:rsid w:val="42FC5865"/>
    <w:rsid w:val="43840A6D"/>
    <w:rsid w:val="43C318BF"/>
    <w:rsid w:val="46875DF4"/>
    <w:rsid w:val="4A277373"/>
    <w:rsid w:val="52771C75"/>
    <w:rsid w:val="544875F3"/>
    <w:rsid w:val="55281A1B"/>
    <w:rsid w:val="5E3929A4"/>
    <w:rsid w:val="5FAC54A3"/>
    <w:rsid w:val="61F01292"/>
    <w:rsid w:val="69B72879"/>
    <w:rsid w:val="6CC94E87"/>
    <w:rsid w:val="6DD4077E"/>
    <w:rsid w:val="6E3C4919"/>
    <w:rsid w:val="700E54D7"/>
    <w:rsid w:val="729E4018"/>
    <w:rsid w:val="758A5B8A"/>
    <w:rsid w:val="75F36496"/>
    <w:rsid w:val="7BED20D1"/>
    <w:rsid w:val="7BF93482"/>
    <w:rsid w:val="7C6C5F2D"/>
    <w:rsid w:val="7CD95DB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1"/>
      <w:lang w:val="en-US" w:eastAsia="zh-CN" w:bidi="ar-SA"/>
    </w:rPr>
  </w:style>
  <w:style w:type="character" w:default="1" w:styleId="7">
    <w:name w:val="Default Paragraph Font"/>
    <w:autoRedefine/>
    <w:unhideWhenUsed/>
    <w:qFormat/>
    <w:uiPriority w:val="1"/>
  </w:style>
  <w:style w:type="table" w:default="1" w:styleId="5">
    <w:name w:val="Normal Table"/>
    <w:autoRedefine/>
    <w:unhideWhenUsed/>
    <w:qFormat/>
    <w:uiPriority w:val="99"/>
    <w:tblPr>
      <w:tblCellMar>
        <w:top w:w="0" w:type="dxa"/>
        <w:left w:w="108" w:type="dxa"/>
        <w:bottom w:w="0" w:type="dxa"/>
        <w:right w:w="108" w:type="dxa"/>
      </w:tblCellMar>
    </w:tblPr>
  </w:style>
  <w:style w:type="paragraph" w:styleId="2">
    <w:name w:val="Balloon Text"/>
    <w:basedOn w:val="1"/>
    <w:link w:val="9"/>
    <w:autoRedefine/>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rFonts w:ascii="等线" w:hAnsi="等线" w:eastAsia="等线" w:cs="Times New Roman"/>
      <w:sz w:val="18"/>
      <w:szCs w:val="18"/>
    </w:rPr>
  </w:style>
  <w:style w:type="paragraph" w:styleId="4">
    <w:name w:val="header"/>
    <w:basedOn w:val="1"/>
    <w:link w:val="11"/>
    <w:autoRedefine/>
    <w:unhideWhenUsed/>
    <w:qFormat/>
    <w:uiPriority w:val="99"/>
    <w:pPr>
      <w:pBdr>
        <w:bottom w:val="single" w:color="auto" w:sz="6" w:space="1"/>
      </w:pBdr>
      <w:tabs>
        <w:tab w:val="center" w:pos="4153"/>
        <w:tab w:val="right" w:pos="8306"/>
      </w:tabs>
      <w:snapToGrid w:val="0"/>
      <w:jc w:val="center"/>
    </w:pPr>
    <w:rPr>
      <w:rFonts w:ascii="等线" w:hAnsi="等线" w:eastAsia="等线" w:cs="Times New Roman"/>
      <w:sz w:val="18"/>
      <w:szCs w:val="18"/>
    </w:rPr>
  </w:style>
  <w:style w:type="table" w:styleId="6">
    <w:name w:val="Table Grid"/>
    <w:basedOn w:val="5"/>
    <w:autoRedefine/>
    <w:qFormat/>
    <w:uiPriority w:val="3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
    <w:name w:val="page number"/>
    <w:qFormat/>
    <w:uiPriority w:val="0"/>
    <w:rPr>
      <w:rFonts w:cs="Times New Roman"/>
    </w:rPr>
  </w:style>
  <w:style w:type="character" w:customStyle="1" w:styleId="9">
    <w:name w:val="批注框文本 字符"/>
    <w:link w:val="2"/>
    <w:autoRedefine/>
    <w:semiHidden/>
    <w:qFormat/>
    <w:uiPriority w:val="99"/>
    <w:rPr>
      <w:rFonts w:ascii="Times New Roman" w:hAnsi="Times New Roman" w:eastAsia="仿宋_GB2312"/>
      <w:kern w:val="2"/>
      <w:sz w:val="18"/>
      <w:szCs w:val="18"/>
    </w:rPr>
  </w:style>
  <w:style w:type="character" w:customStyle="1" w:styleId="10">
    <w:name w:val="页脚 字符"/>
    <w:link w:val="3"/>
    <w:autoRedefine/>
    <w:qFormat/>
    <w:uiPriority w:val="99"/>
    <w:rPr>
      <w:sz w:val="18"/>
      <w:szCs w:val="18"/>
    </w:rPr>
  </w:style>
  <w:style w:type="character" w:customStyle="1" w:styleId="11">
    <w:name w:val="页眉 字符"/>
    <w:link w:val="4"/>
    <w:autoRedefine/>
    <w:qFormat/>
    <w:uiPriority w:val="99"/>
    <w:rPr>
      <w:sz w:val="18"/>
      <w:szCs w:val="18"/>
    </w:rPr>
  </w:style>
  <w:style w:type="paragraph" w:styleId="12">
    <w:name w:val="List Paragraph"/>
    <w:basedOn w:val="1"/>
    <w:autoRedefine/>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4</Pages>
  <Words>1741</Words>
  <Characters>1761</Characters>
  <Lines>19</Lines>
  <Paragraphs>5</Paragraphs>
  <TotalTime>0</TotalTime>
  <ScaleCrop>false</ScaleCrop>
  <LinksUpToDate>false</LinksUpToDate>
  <CharactersWithSpaces>1826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2023-04-14T01:23:00Z</dcterms:created>
  <dc:creator>李若琼</dc:creator>
  <cp:lastModifiedBy>郭凤玲</cp:lastModifiedBy>
  <cp:lastPrinted>2023-08-31T02:44:00Z</cp:lastPrinted>
  <dcterms:modified xsi:type="dcterms:W3CDTF">2026-06-10T01:19:25Z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FD5EF15635C541EA920876BDEB405FEE_13</vt:lpwstr>
  </property>
  <property fmtid="{D5CDD505-2E9C-101B-9397-08002B2CF9AE}" pid="4" name="KSOTemplateDocerSaveRecord">
    <vt:lpwstr>eyJoZGlkIjoiZTcxMWY5ZjhkNzlhY2VhYjBmNmE4YjcyODI2NDRhMGQiLCJ1c2VySWQiOiIzNjg1NjM2NTYifQ==</vt:lpwstr>
  </property>
</Properties>
</file>