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06DD">
      <w:pPr>
        <w:pStyle w:val="2"/>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14:paraId="47C2BB1A">
      <w:pPr>
        <w:pStyle w:val="2"/>
        <w:keepNext w:val="0"/>
        <w:keepLines w:val="0"/>
        <w:pageBreakBefore w:val="0"/>
        <w:kinsoku/>
        <w:wordWrap/>
        <w:overflowPunct/>
        <w:topLinePunct w:val="0"/>
        <w:autoSpaceDE/>
        <w:autoSpaceDN/>
        <w:bidi w:val="0"/>
        <w:snapToGrid/>
        <w:spacing w:line="288" w:lineRule="auto"/>
        <w:ind w:firstLine="6960" w:firstLineChars="29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14:paraId="350B5423">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出租方（甲方）：</w:t>
      </w:r>
      <w:r>
        <w:rPr>
          <w:rFonts w:hint="eastAsia" w:ascii="新宋体" w:hAnsi="新宋体" w:eastAsia="新宋体" w:cs="新宋体"/>
          <w:b/>
          <w:sz w:val="24"/>
          <w:szCs w:val="24"/>
          <w:u w:val="single"/>
        </w:rPr>
        <w:t xml:space="preserve">              </w:t>
      </w:r>
    </w:p>
    <w:p w14:paraId="250B243F">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14:paraId="317D7C3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14:paraId="71A1783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14:paraId="2572D6F1">
      <w:pPr>
        <w:keepNext w:val="0"/>
        <w:keepLines w:val="0"/>
        <w:pageBreakBefore w:val="0"/>
        <w:kinsoku/>
        <w:wordWrap/>
        <w:overflowPunct/>
        <w:topLinePunct w:val="0"/>
        <w:autoSpaceDE/>
        <w:autoSpaceDN/>
        <w:bidi w:val="0"/>
        <w:snapToGrid/>
        <w:spacing w:line="288" w:lineRule="auto"/>
        <w:ind w:left="239" w:leftChars="114" w:firstLine="240" w:firstLineChars="100"/>
        <w:jc w:val="left"/>
        <w:textAlignment w:val="auto"/>
        <w:rPr>
          <w:rFonts w:hint="eastAsia" w:ascii="新宋体" w:hAnsi="新宋体" w:eastAsia="新宋体" w:cs="新宋体"/>
          <w:bCs/>
          <w:sz w:val="24"/>
          <w:szCs w:val="24"/>
          <w:u w:val="single"/>
        </w:rPr>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），建筑面积</w:t>
      </w:r>
    </w:p>
    <w:p w14:paraId="1F0E8657">
      <w:pPr>
        <w:keepNext w:val="0"/>
        <w:keepLines w:val="0"/>
        <w:pageBreakBefore w:val="0"/>
        <w:kinsoku/>
        <w:wordWrap/>
        <w:overflowPunct/>
        <w:topLinePunct w:val="0"/>
        <w:autoSpaceDE/>
        <w:autoSpaceDN/>
        <w:bidi w:val="0"/>
        <w:snapToGrid/>
        <w:spacing w:line="288" w:lineRule="auto"/>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14:paraId="11CD513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14:paraId="7DFE78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14:paraId="1A560F2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14:paraId="269DAC1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14:paraId="359C75C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个月物业（不含车位）免租金</w:t>
      </w:r>
      <w:r>
        <w:rPr>
          <w:rFonts w:hint="eastAsia" w:ascii="新宋体" w:hAnsi="新宋体" w:eastAsia="新宋体" w:cs="新宋体"/>
          <w:bCs/>
          <w:sz w:val="24"/>
          <w:szCs w:val="24"/>
          <w:lang w:val="en-US" w:eastAsia="zh-CN"/>
        </w:rPr>
        <w:t>装修</w:t>
      </w:r>
      <w:r>
        <w:rPr>
          <w:rFonts w:hint="eastAsia" w:ascii="新宋体" w:hAnsi="新宋体" w:eastAsia="新宋体" w:cs="新宋体"/>
          <w:bCs/>
          <w:sz w:val="24"/>
          <w:szCs w:val="24"/>
        </w:rPr>
        <w:t>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bookmarkStart w:id="0" w:name="_GoBack"/>
      <w:bookmarkEnd w:id="0"/>
    </w:p>
    <w:p w14:paraId="373A0BC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14:paraId="0B0DEE6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p>
    <w:p w14:paraId="5418357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14:paraId="2B4BBDA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14:paraId="6B3CCA0F">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14:paraId="06838EF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14:paraId="27455ED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14:paraId="0FA38D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14:paraId="0DAC621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14:paraId="776678E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14:paraId="3F0A645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14:paraId="43B225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14:paraId="1EEF4C0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14:paraId="2F7B10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14:paraId="0707DDB4">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14:paraId="72D5303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14:paraId="4DA80CB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14:paraId="26D3EF2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14:paraId="5B608F1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14:paraId="544E278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14:paraId="5C2E8C5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14:paraId="70FAECE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14:paraId="7028C2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14:paraId="1432829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14:paraId="1404E51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14:paraId="182F8952">
      <w:pPr>
        <w:keepNext w:val="0"/>
        <w:keepLines w:val="0"/>
        <w:pageBreakBefore w:val="0"/>
        <w:numPr>
          <w:ilvl w:val="0"/>
          <w:numId w:val="0"/>
        </w:numPr>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14:paraId="242FB47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14:paraId="280A3D6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14:paraId="79899E1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14:paraId="6AF8B9AE">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14:paraId="231E894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14:paraId="7C699A8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14:paraId="7C7F7A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14:paraId="1DF55A6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14:paraId="34D6A05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14:paraId="7828222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14:paraId="6A9A414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14:paraId="252FCC2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14:paraId="420D074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14:paraId="6281C0F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14:paraId="630DA5E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14:paraId="446A020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14:paraId="4455DC0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14:paraId="60FE57F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14:paraId="2291513A">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14:paraId="74FFF97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14:paraId="6E5EE2D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14:paraId="6FC21FF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14:paraId="20C343C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14:paraId="2CCE53D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14:paraId="7D6C569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14:paraId="1043DB7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14:paraId="334A7B4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14:paraId="16FF5CA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14:paraId="2BE5DEE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14:paraId="49FF00B4">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14:paraId="20F063C6">
      <w:pPr>
        <w:keepNext w:val="0"/>
        <w:keepLines w:val="0"/>
        <w:pageBreakBefore w:val="0"/>
        <w:kinsoku/>
        <w:wordWrap/>
        <w:overflowPunct/>
        <w:topLinePunct w:val="0"/>
        <w:autoSpaceDE/>
        <w:autoSpaceDN/>
        <w:bidi w:val="0"/>
        <w:snapToGrid/>
        <w:spacing w:line="28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14:paraId="32945D3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14:paraId="0ABA50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14:paraId="7FDE933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14:paraId="7A14A44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租赁期间，乙方应遵守国家及甲方相关安全管理规定，如未遵守视为违约，甲方有权提前终止合同并要求乙方赔偿一切损失。其中，严令禁止事项包括以为行为：</w:t>
      </w:r>
    </w:p>
    <w:p w14:paraId="6B19A97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①严禁私接、私拉电线，严禁改变用电负荷或保险装置；</w:t>
      </w:r>
    </w:p>
    <w:p w14:paraId="1850ED7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②严禁电动自行车或电池入户、充电、飞线充电等行为；</w:t>
      </w:r>
    </w:p>
    <w:p w14:paraId="35674C09">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③严禁使用三无电器，使用大功率电器必须加装漏电保护开关；</w:t>
      </w:r>
    </w:p>
    <w:p w14:paraId="07F23A08">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④严禁改变房屋使用用途，严禁在生产、储存、经营场所违规住人；</w:t>
      </w:r>
    </w:p>
    <w:p w14:paraId="7D6043A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⑤严禁违规存放、售卖化学危险品、易燃易爆品、爆炸物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14:paraId="524353FB">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⑥严禁堵塞疏散通道和安全出口，应按照消防有关规定配备消防设备、设施或器材，设置安全标志。</w:t>
      </w:r>
    </w:p>
    <w:p w14:paraId="179892F8">
      <w:pPr>
        <w:keepNext w:val="0"/>
        <w:keepLines w:val="0"/>
        <w:pageBreakBefore w:val="0"/>
        <w:kinsoku/>
        <w:wordWrap/>
        <w:overflowPunct/>
        <w:topLinePunct w:val="0"/>
        <w:autoSpaceDE/>
        <w:autoSpaceDN/>
        <w:bidi w:val="0"/>
        <w:adjustRightInd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14:paraId="3FCBA49B">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14:paraId="587B0ECD">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14:paraId="1A5CCA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14:paraId="66A1C04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14:paraId="4F2C0A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14:paraId="10E956D7">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14:paraId="4E3B9B1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14:paraId="274F83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14:paraId="770EFF6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14:paraId="703C184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14:paraId="46F9E07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14:paraId="5027A83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14:paraId="78C0217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14:paraId="6E8092B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14:paraId="702DBF79">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14:paraId="4C1F629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23C4D6B7">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01BBDB63">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14:paraId="6A5BA1F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20AD02C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5DEA1C74">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14:paraId="152F06AF">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14:paraId="47BDC91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1A89DE7C">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14:paraId="3B2AB3CA">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14:paraId="4152B1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p>
    <w:p w14:paraId="30F2EE59">
      <w:pPr>
        <w:keepNext w:val="0"/>
        <w:keepLines w:val="0"/>
        <w:pageBreakBefore w:val="0"/>
        <w:kinsoku/>
        <w:wordWrap/>
        <w:overflowPunct/>
        <w:topLinePunct w:val="0"/>
        <w:autoSpaceDE/>
        <w:autoSpaceDN/>
        <w:bidi w:val="0"/>
        <w:snapToGrid/>
        <w:spacing w:line="288" w:lineRule="auto"/>
      </w:pPr>
    </w:p>
    <w:p w14:paraId="5396FCA5">
      <w:pPr>
        <w:keepNext w:val="0"/>
        <w:keepLines w:val="0"/>
        <w:pageBreakBefore w:val="0"/>
        <w:kinsoku/>
        <w:wordWrap/>
        <w:overflowPunct/>
        <w:topLinePunct w:val="0"/>
        <w:autoSpaceDE/>
        <w:autoSpaceDN/>
        <w:bidi w:val="0"/>
        <w:snapToGrid/>
        <w:spacing w:line="288" w:lineRule="auto"/>
        <w:jc w:val="left"/>
        <w:rPr>
          <w:rFonts w:ascii="黑体" w:hAnsi="黑体" w:eastAsia="黑体" w:cs="黑体"/>
          <w:sz w:val="32"/>
          <w:szCs w:val="32"/>
        </w:rPr>
      </w:pPr>
      <w:r>
        <w:rPr>
          <w:rFonts w:hint="eastAsia" w:ascii="黑体" w:hAnsi="黑体" w:eastAsia="黑体" w:cs="黑体"/>
          <w:sz w:val="32"/>
          <w:szCs w:val="32"/>
        </w:rPr>
        <w:t>附表</w:t>
      </w:r>
    </w:p>
    <w:tbl>
      <w:tblPr>
        <w:tblStyle w:val="3"/>
        <w:tblpPr w:leftFromText="180" w:rightFromText="180" w:vertAnchor="text" w:horzAnchor="page" w:tblpX="1420" w:tblpY="84"/>
        <w:tblOverlap w:val="never"/>
        <w:tblW w:w="9555" w:type="dxa"/>
        <w:tblInd w:w="0" w:type="dxa"/>
        <w:tblLayout w:type="fixed"/>
        <w:tblCellMar>
          <w:top w:w="0" w:type="dxa"/>
          <w:left w:w="108" w:type="dxa"/>
          <w:bottom w:w="0" w:type="dxa"/>
          <w:right w:w="108" w:type="dxa"/>
        </w:tblCellMar>
      </w:tblPr>
      <w:tblGrid>
        <w:gridCol w:w="2157"/>
        <w:gridCol w:w="7398"/>
      </w:tblGrid>
      <w:tr w14:paraId="18FAF322">
        <w:tblPrEx>
          <w:tblCellMar>
            <w:top w:w="0" w:type="dxa"/>
            <w:left w:w="108" w:type="dxa"/>
            <w:bottom w:w="0" w:type="dxa"/>
            <w:right w:w="108" w:type="dxa"/>
          </w:tblCellMar>
        </w:tblPrEx>
        <w:trPr>
          <w:trHeight w:val="1260" w:hRule="atLeast"/>
        </w:trPr>
        <w:tc>
          <w:tcPr>
            <w:tcW w:w="9555" w:type="dxa"/>
            <w:gridSpan w:val="2"/>
            <w:tcBorders>
              <w:top w:val="nil"/>
              <w:left w:val="nil"/>
              <w:bottom w:val="nil"/>
              <w:right w:val="nil"/>
            </w:tcBorders>
            <w:noWrap/>
            <w:vAlign w:val="center"/>
          </w:tcPr>
          <w:p w14:paraId="538CFF63">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房屋建筑移交确认单</w:t>
            </w:r>
          </w:p>
        </w:tc>
      </w:tr>
      <w:tr w14:paraId="3B6D5B24">
        <w:tblPrEx>
          <w:tblCellMar>
            <w:top w:w="0" w:type="dxa"/>
            <w:left w:w="108" w:type="dxa"/>
            <w:bottom w:w="0" w:type="dxa"/>
            <w:right w:w="108" w:type="dxa"/>
          </w:tblCellMar>
        </w:tblPrEx>
        <w:trPr>
          <w:trHeight w:val="440" w:hRule="atLeast"/>
        </w:trPr>
        <w:tc>
          <w:tcPr>
            <w:tcW w:w="2157" w:type="dxa"/>
            <w:tcBorders>
              <w:top w:val="single" w:color="000000" w:sz="8" w:space="0"/>
              <w:left w:val="single" w:color="000000" w:sz="8" w:space="0"/>
              <w:bottom w:val="single" w:color="000000" w:sz="4" w:space="0"/>
              <w:right w:val="single" w:color="000000" w:sz="4" w:space="0"/>
            </w:tcBorders>
            <w:noWrap/>
            <w:vAlign w:val="center"/>
          </w:tcPr>
          <w:p w14:paraId="267F2CFE">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18"/>
                <w:szCs w:val="18"/>
              </w:rPr>
            </w:pPr>
            <w:r>
              <w:rPr>
                <w:rFonts w:hint="eastAsia" w:ascii="宋体" w:hAnsi="宋体" w:cs="宋体"/>
                <w:color w:val="000000"/>
                <w:kern w:val="0"/>
                <w:sz w:val="24"/>
                <w:szCs w:val="24"/>
                <w:lang w:bidi="ar"/>
              </w:rPr>
              <w:t>移交方</w:t>
            </w:r>
          </w:p>
        </w:tc>
        <w:tc>
          <w:tcPr>
            <w:tcW w:w="7398" w:type="dxa"/>
            <w:tcBorders>
              <w:top w:val="single" w:color="000000" w:sz="8" w:space="0"/>
              <w:left w:val="single" w:color="000000" w:sz="4" w:space="0"/>
              <w:bottom w:val="single" w:color="000000" w:sz="4" w:space="0"/>
              <w:right w:val="single" w:color="000000" w:sz="8" w:space="0"/>
            </w:tcBorders>
            <w:noWrap/>
            <w:vAlign w:val="center"/>
          </w:tcPr>
          <w:p w14:paraId="3618510A">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BB09D10">
        <w:tblPrEx>
          <w:tblCellMar>
            <w:top w:w="0" w:type="dxa"/>
            <w:left w:w="108" w:type="dxa"/>
            <w:bottom w:w="0" w:type="dxa"/>
            <w:right w:w="108" w:type="dxa"/>
          </w:tblCellMar>
        </w:tblPrEx>
        <w:trPr>
          <w:trHeight w:val="42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5B017A9B">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接收方</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26D7B9F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01AF94EC">
        <w:tblPrEx>
          <w:tblCellMar>
            <w:top w:w="0" w:type="dxa"/>
            <w:left w:w="108" w:type="dxa"/>
            <w:bottom w:w="0" w:type="dxa"/>
            <w:right w:w="108" w:type="dxa"/>
          </w:tblCellMar>
        </w:tblPrEx>
        <w:trPr>
          <w:trHeight w:val="39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37482487">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坐</w:t>
            </w:r>
            <w:r>
              <w:rPr>
                <w:rFonts w:hint="eastAsia" w:ascii="宋体" w:hAnsi="宋体" w:cs="宋体"/>
                <w:color w:val="000000"/>
                <w:kern w:val="0"/>
                <w:sz w:val="24"/>
                <w:szCs w:val="24"/>
                <w:lang w:bidi="ar"/>
              </w:rPr>
              <w:t>落及名称</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079F19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087A99E">
        <w:tblPrEx>
          <w:tblCellMar>
            <w:top w:w="0" w:type="dxa"/>
            <w:left w:w="108" w:type="dxa"/>
            <w:bottom w:w="0" w:type="dxa"/>
            <w:right w:w="108" w:type="dxa"/>
          </w:tblCellMar>
        </w:tblPrEx>
        <w:trPr>
          <w:trHeight w:val="375"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6757D7BD">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租赁合同编号</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7DABA749">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4F48776D">
        <w:tblPrEx>
          <w:tblCellMar>
            <w:top w:w="0" w:type="dxa"/>
            <w:left w:w="108" w:type="dxa"/>
            <w:bottom w:w="0" w:type="dxa"/>
            <w:right w:w="108" w:type="dxa"/>
          </w:tblCellMar>
        </w:tblPrEx>
        <w:trPr>
          <w:trHeight w:val="3970" w:hRule="atLeast"/>
        </w:trPr>
        <w:tc>
          <w:tcPr>
            <w:tcW w:w="9555" w:type="dxa"/>
            <w:gridSpan w:val="2"/>
            <w:tcBorders>
              <w:top w:val="single" w:color="000000" w:sz="4" w:space="0"/>
              <w:left w:val="single" w:color="000000" w:sz="8" w:space="0"/>
              <w:bottom w:val="single" w:color="000000" w:sz="4" w:space="0"/>
              <w:right w:val="single" w:color="000000" w:sz="8" w:space="0"/>
            </w:tcBorders>
            <w:noWrap w:val="0"/>
            <w:vAlign w:val="top"/>
          </w:tcPr>
          <w:p w14:paraId="6816DF69">
            <w:pPr>
              <w:keepNext w:val="0"/>
              <w:keepLines w:val="0"/>
              <w:pageBreakBefore w:val="0"/>
              <w:widowControl/>
              <w:kinsoku/>
              <w:wordWrap/>
              <w:overflowPunct/>
              <w:topLinePunct w:val="0"/>
              <w:autoSpaceDE/>
              <w:autoSpaceDN/>
              <w:bidi w:val="0"/>
              <w:snapToGrid/>
              <w:spacing w:line="288" w:lineRule="auto"/>
              <w:ind w:firstLine="283"/>
              <w:jc w:val="left"/>
              <w:textAlignment w:val="top"/>
              <w:rPr>
                <w:rFonts w:ascii="宋体" w:hAnsi="宋体" w:cs="宋体"/>
                <w:b/>
                <w:bCs/>
                <w:color w:val="000000"/>
                <w:sz w:val="18"/>
                <w:szCs w:val="18"/>
              </w:rPr>
            </w:pPr>
            <w:r>
              <w:rPr>
                <w:rStyle w:val="5"/>
                <w:rFonts w:hint="default"/>
                <w:sz w:val="18"/>
                <w:szCs w:val="18"/>
                <w:lang w:bidi="ar"/>
              </w:rPr>
              <w:t>房屋交接时，双方确认如下：</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1.电表读数：</w:t>
            </w:r>
            <w:r>
              <w:rPr>
                <w:rStyle w:val="7"/>
                <w:rFonts w:hint="default"/>
                <w:sz w:val="18"/>
                <w:szCs w:val="18"/>
                <w:lang w:bidi="ar"/>
              </w:rPr>
              <w:t xml:space="preserve">           </w:t>
            </w:r>
            <w:r>
              <w:rPr>
                <w:rStyle w:val="6"/>
                <w:rFonts w:hint="default"/>
                <w:sz w:val="18"/>
                <w:szCs w:val="18"/>
                <w:lang w:bidi="ar"/>
              </w:rPr>
              <w:t>，电费是否结清：是</w:t>
            </w:r>
            <w:r>
              <w:rPr>
                <w:rStyle w:val="8"/>
                <w:sz w:val="18"/>
                <w:szCs w:val="18"/>
                <w:lang w:bidi="ar"/>
              </w:rPr>
              <w:t></w:t>
            </w:r>
            <w:r>
              <w:rPr>
                <w:rStyle w:val="6"/>
                <w:rFonts w:hint="default"/>
                <w:sz w:val="18"/>
                <w:szCs w:val="18"/>
                <w:lang w:bidi="ar"/>
              </w:rPr>
              <w:t>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2.水表读数：</w:t>
            </w:r>
            <w:r>
              <w:rPr>
                <w:rStyle w:val="7"/>
                <w:rFonts w:hint="default"/>
                <w:sz w:val="18"/>
                <w:szCs w:val="18"/>
                <w:lang w:bidi="ar"/>
              </w:rPr>
              <w:t xml:space="preserve">           </w:t>
            </w:r>
            <w:r>
              <w:rPr>
                <w:rStyle w:val="6"/>
                <w:rFonts w:hint="default"/>
                <w:sz w:val="18"/>
                <w:szCs w:val="18"/>
                <w:lang w:bidi="ar"/>
              </w:rPr>
              <w:t>，水费是否结清：是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3.燃气表读数：</w:t>
            </w:r>
            <w:r>
              <w:rPr>
                <w:rStyle w:val="7"/>
                <w:rFonts w:hint="default"/>
                <w:sz w:val="18"/>
                <w:szCs w:val="18"/>
                <w:lang w:bidi="ar"/>
              </w:rPr>
              <w:t xml:space="preserve">           </w:t>
            </w:r>
            <w:r>
              <w:rPr>
                <w:rStyle w:val="6"/>
                <w:rFonts w:hint="default"/>
                <w:sz w:val="18"/>
                <w:szCs w:val="18"/>
                <w:lang w:bidi="ar"/>
              </w:rPr>
              <w:t>，燃气费用是否结清：是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4.物业费等其他费用是否结清：是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5.房屋建筑结构是否改变：是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6.房屋建筑内物品是否腾空：是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7"/>
                <w:rFonts w:hint="default"/>
                <w:sz w:val="18"/>
                <w:szCs w:val="18"/>
                <w:lang w:bidi="ar"/>
              </w:rPr>
              <w:br w:type="textWrapping"/>
            </w:r>
            <w:r>
              <w:rPr>
                <w:rStyle w:val="7"/>
                <w:rFonts w:hint="default"/>
                <w:sz w:val="18"/>
                <w:szCs w:val="18"/>
                <w:lang w:bidi="ar"/>
              </w:rPr>
              <w:br w:type="textWrapping"/>
            </w:r>
            <w:r>
              <w:rPr>
                <w:rStyle w:val="6"/>
                <w:rFonts w:hint="default"/>
                <w:sz w:val="18"/>
                <w:szCs w:val="18"/>
                <w:lang w:bidi="ar"/>
              </w:rPr>
              <w:t>7.其他情况：</w:t>
            </w:r>
            <w:r>
              <w:rPr>
                <w:rStyle w:val="7"/>
                <w:rFonts w:hint="default"/>
                <w:sz w:val="18"/>
                <w:szCs w:val="18"/>
                <w:lang w:bidi="ar"/>
              </w:rPr>
              <w:t xml:space="preserve">                                                                        </w:t>
            </w:r>
          </w:p>
        </w:tc>
      </w:tr>
      <w:tr w14:paraId="688333A0">
        <w:tblPrEx>
          <w:tblCellMar>
            <w:top w:w="0" w:type="dxa"/>
            <w:left w:w="108" w:type="dxa"/>
            <w:bottom w:w="0" w:type="dxa"/>
            <w:right w:w="108" w:type="dxa"/>
          </w:tblCellMar>
        </w:tblPrEx>
        <w:trPr>
          <w:trHeight w:val="660"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13FA2A0C">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移交时间</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9BD254C">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28"/>
                <w:szCs w:val="28"/>
              </w:rPr>
            </w:pPr>
          </w:p>
        </w:tc>
      </w:tr>
      <w:tr w14:paraId="76B0BD5B">
        <w:tblPrEx>
          <w:tblCellMar>
            <w:top w:w="0" w:type="dxa"/>
            <w:left w:w="108" w:type="dxa"/>
            <w:bottom w:w="0" w:type="dxa"/>
            <w:right w:w="108" w:type="dxa"/>
          </w:tblCellMar>
        </w:tblPrEx>
        <w:trPr>
          <w:trHeight w:val="3003" w:hRule="atLeast"/>
        </w:trPr>
        <w:tc>
          <w:tcPr>
            <w:tcW w:w="9555" w:type="dxa"/>
            <w:gridSpan w:val="2"/>
            <w:tcBorders>
              <w:top w:val="single" w:color="000000" w:sz="4" w:space="0"/>
              <w:left w:val="single" w:color="000000" w:sz="8" w:space="0"/>
              <w:bottom w:val="single" w:color="000000" w:sz="8" w:space="0"/>
              <w:right w:val="single" w:color="000000" w:sz="8" w:space="0"/>
            </w:tcBorders>
            <w:noWrap w:val="0"/>
            <w:vAlign w:val="top"/>
          </w:tcPr>
          <w:p w14:paraId="5675FA79">
            <w:pPr>
              <w:keepNext w:val="0"/>
              <w:keepLines w:val="0"/>
              <w:pageBreakBefore w:val="0"/>
              <w:widowControl/>
              <w:kinsoku/>
              <w:wordWrap/>
              <w:overflowPunct/>
              <w:topLinePunct w:val="0"/>
              <w:autoSpaceDE/>
              <w:autoSpaceDN/>
              <w:bidi w:val="0"/>
              <w:snapToGrid/>
              <w:spacing w:line="288" w:lineRule="auto"/>
              <w:ind w:firstLine="280"/>
              <w:jc w:val="left"/>
              <w:textAlignment w:val="top"/>
              <w:rPr>
                <w:rFonts w:ascii="宋体" w:hAnsi="宋体" w:cs="宋体"/>
                <w:color w:val="000000"/>
                <w:sz w:val="28"/>
                <w:szCs w:val="28"/>
              </w:rPr>
            </w:pPr>
            <w:r>
              <w:rPr>
                <w:rFonts w:hint="eastAsia" w:ascii="宋体" w:hAnsi="宋体" w:cs="宋体"/>
                <w:color w:val="000000"/>
                <w:kern w:val="0"/>
                <w:sz w:val="28"/>
                <w:szCs w:val="28"/>
                <w:bdr w:val="single" w:color="000000" w:sz="8" w:space="0"/>
              </w:rPr>
              <w:drawing>
                <wp:anchor distT="0" distB="0" distL="114300" distR="114300" simplePos="0" relativeHeight="251660288" behindDoc="0" locked="0" layoutInCell="1" allowOverlap="1">
                  <wp:simplePos x="0" y="0"/>
                  <wp:positionH relativeFrom="column">
                    <wp:posOffset>1132840</wp:posOffset>
                  </wp:positionH>
                  <wp:positionV relativeFrom="paragraph">
                    <wp:posOffset>1126490</wp:posOffset>
                  </wp:positionV>
                  <wp:extent cx="3634740" cy="325755"/>
                  <wp:effectExtent l="0" t="0" r="7620" b="9525"/>
                  <wp:wrapNone/>
                  <wp:docPr id="2" name="__SpCnt_1"/>
                  <wp:cNvGraphicFramePr/>
                  <a:graphic xmlns:a="http://schemas.openxmlformats.org/drawingml/2006/main">
                    <a:graphicData uri="http://schemas.openxmlformats.org/drawingml/2006/picture">
                      <pic:pic xmlns:pic="http://schemas.openxmlformats.org/drawingml/2006/picture">
                        <pic:nvPicPr>
                          <pic:cNvPr id="2" name="__SpCnt_1"/>
                          <pic:cNvPicPr/>
                        </pic:nvPicPr>
                        <pic:blipFill>
                          <a:blip r:embed="rId4"/>
                          <a:stretch>
                            <a:fillRect/>
                          </a:stretch>
                        </pic:blipFill>
                        <pic:spPr>
                          <a:xfrm>
                            <a:off x="0" y="0"/>
                            <a:ext cx="3634740" cy="32575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61312" behindDoc="0" locked="0" layoutInCell="1" allowOverlap="1">
                  <wp:simplePos x="0" y="0"/>
                  <wp:positionH relativeFrom="column">
                    <wp:posOffset>4309745</wp:posOffset>
                  </wp:positionH>
                  <wp:positionV relativeFrom="paragraph">
                    <wp:posOffset>208915</wp:posOffset>
                  </wp:positionV>
                  <wp:extent cx="1268095" cy="774065"/>
                  <wp:effectExtent l="0" t="0" r="12065" b="3175"/>
                  <wp:wrapNone/>
                  <wp:docPr id="1" name="__SpCnt_2"/>
                  <wp:cNvGraphicFramePr/>
                  <a:graphic xmlns:a="http://schemas.openxmlformats.org/drawingml/2006/main">
                    <a:graphicData uri="http://schemas.openxmlformats.org/drawingml/2006/picture">
                      <pic:pic xmlns:pic="http://schemas.openxmlformats.org/drawingml/2006/picture">
                        <pic:nvPicPr>
                          <pic:cNvPr id="1" name="__SpCnt_2"/>
                          <pic:cNvPicPr/>
                        </pic:nvPicPr>
                        <pic:blipFill>
                          <a:blip r:embed="rId5"/>
                          <a:stretch>
                            <a:fillRect/>
                          </a:stretch>
                        </pic:blipFill>
                        <pic:spPr>
                          <a:xfrm>
                            <a:off x="0" y="0"/>
                            <a:ext cx="1268095" cy="77406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211455</wp:posOffset>
                  </wp:positionV>
                  <wp:extent cx="1352550" cy="858520"/>
                  <wp:effectExtent l="0" t="0" r="3810" b="10160"/>
                  <wp:wrapNone/>
                  <wp:docPr id="3" name="_"/>
                  <wp:cNvGraphicFramePr/>
                  <a:graphic xmlns:a="http://schemas.openxmlformats.org/drawingml/2006/main">
                    <a:graphicData uri="http://schemas.openxmlformats.org/drawingml/2006/picture">
                      <pic:pic xmlns:pic="http://schemas.openxmlformats.org/drawingml/2006/picture">
                        <pic:nvPicPr>
                          <pic:cNvPr id="3" name="_"/>
                          <pic:cNvPicPr/>
                        </pic:nvPicPr>
                        <pic:blipFill>
                          <a:blip r:embed="rId6"/>
                          <a:stretch>
                            <a:fillRect/>
                          </a:stretch>
                        </pic:blipFill>
                        <pic:spPr>
                          <a:xfrm>
                            <a:off x="0" y="0"/>
                            <a:ext cx="1352550" cy="858520"/>
                          </a:xfrm>
                          <a:prstGeom prst="rect">
                            <a:avLst/>
                          </a:prstGeom>
                          <a:noFill/>
                          <a:ln>
                            <a:noFill/>
                          </a:ln>
                        </pic:spPr>
                      </pic:pic>
                    </a:graphicData>
                  </a:graphic>
                </wp:anchor>
              </w:drawing>
            </w:r>
          </w:p>
        </w:tc>
      </w:tr>
    </w:tbl>
    <w:p w14:paraId="3740895E">
      <w:pPr>
        <w:keepNext w:val="0"/>
        <w:keepLines w:val="0"/>
        <w:pageBreakBefore w:val="0"/>
        <w:kinsoku/>
        <w:wordWrap/>
        <w:overflowPunct/>
        <w:topLinePunct w:val="0"/>
        <w:autoSpaceDE/>
        <w:autoSpaceDN/>
        <w:bidi w:val="0"/>
        <w:snapToGrid/>
        <w:spacing w:line="288" w:lineRule="auto"/>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0CA27F6D"/>
    <w:rsid w:val="13195426"/>
    <w:rsid w:val="1BB63C29"/>
    <w:rsid w:val="20BF0C96"/>
    <w:rsid w:val="279506BE"/>
    <w:rsid w:val="4DF04081"/>
    <w:rsid w:val="549A0BC1"/>
    <w:rsid w:val="62DD4155"/>
    <w:rsid w:val="631D3F45"/>
    <w:rsid w:val="74373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31"/>
    <w:autoRedefine/>
    <w:qFormat/>
    <w:uiPriority w:val="0"/>
    <w:rPr>
      <w:rFonts w:hint="eastAsia" w:ascii="宋体" w:hAnsi="宋体" w:eastAsia="宋体" w:cs="宋体"/>
      <w:b/>
      <w:bCs/>
      <w:color w:val="000000"/>
      <w:sz w:val="28"/>
      <w:szCs w:val="28"/>
      <w:u w:val="none"/>
    </w:rPr>
  </w:style>
  <w:style w:type="character" w:customStyle="1" w:styleId="6">
    <w:name w:val="font41"/>
    <w:autoRedefine/>
    <w:qFormat/>
    <w:uiPriority w:val="0"/>
    <w:rPr>
      <w:rFonts w:hint="eastAsia" w:ascii="宋体" w:hAnsi="宋体" w:eastAsia="宋体" w:cs="宋体"/>
      <w:color w:val="000000"/>
      <w:sz w:val="22"/>
      <w:szCs w:val="22"/>
      <w:u w:val="none"/>
    </w:rPr>
  </w:style>
  <w:style w:type="character" w:customStyle="1" w:styleId="7">
    <w:name w:val="font51"/>
    <w:autoRedefine/>
    <w:qFormat/>
    <w:uiPriority w:val="0"/>
    <w:rPr>
      <w:rFonts w:hint="eastAsia" w:ascii="宋体" w:hAnsi="宋体" w:eastAsia="宋体" w:cs="宋体"/>
      <w:color w:val="000000"/>
      <w:sz w:val="22"/>
      <w:szCs w:val="22"/>
      <w:u w:val="single"/>
    </w:rPr>
  </w:style>
  <w:style w:type="character" w:customStyle="1" w:styleId="8">
    <w:name w:val="font61"/>
    <w:autoRedefine/>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5728</Words>
  <Characters>5851</Characters>
  <Lines>0</Lines>
  <Paragraphs>0</Paragraphs>
  <TotalTime>6</TotalTime>
  <ScaleCrop>false</ScaleCrop>
  <LinksUpToDate>false</LinksUpToDate>
  <CharactersWithSpaces>6689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2024-10-23T07:12:00Z</dcterms:created>
  <dc:creator>Hauwei</dc:creator>
  <cp:lastModifiedBy>郭凤玲</cp:lastModifiedBy>
  <dcterms:modified xsi:type="dcterms:W3CDTF">2026-01-05T00:56:32Z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37B77EC4341B4356985C6E8E40DD9C65_12</vt:lpwstr>
  </property>
  <property fmtid="{D5CDD505-2E9C-101B-9397-08002B2CF9AE}" pid="4" name="KSOTemplateDocerSaveRecord">
    <vt:lpwstr>eyJoZGlkIjoiZTcxMWY5ZjhkNzlhY2VhYjBmNmE4YjcyODI2NDRhMGQiLCJ1c2VySWQiOiIxMDA1OTAxMTU3In0=</vt:lpwstr>
  </property>
</Properties>
</file>