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宋体" w:hAnsi="宋体" w:eastAsia="宋体" w:cs="仿宋"/>
          <w:b/>
          <w:bCs/>
          <w:kern w:val="0"/>
          <w:sz w:val="44"/>
          <w:szCs w:val="44"/>
        </w:rPr>
      </w:pPr>
      <w:bookmarkStart w:id="0" w:name="_GoBack"/>
      <w:bookmarkEnd w:id="0"/>
      <w:r>
        <w:rPr>
          <w:rFonts w:hint="eastAsia" w:ascii="宋体" w:hAnsi="宋体" w:eastAsia="宋体" w:cs="仿宋"/>
          <w:b/>
          <w:bCs/>
          <w:kern w:val="0"/>
          <w:sz w:val="44"/>
          <w:szCs w:val="44"/>
        </w:rPr>
        <w:t>厦门市对外服务中心有限公司</w:t>
      </w:r>
      <w:r>
        <w:rPr>
          <w:rFonts w:hint="eastAsia" w:ascii="宋体" w:hAnsi="宋体" w:eastAsia="宋体" w:cs="仿宋"/>
          <w:b/>
          <w:bCs/>
          <w:kern w:val="0"/>
          <w:sz w:val="44"/>
          <w:szCs w:val="44"/>
        </w:rPr>
        <w:br w:type="textWrapping"/>
      </w:r>
      <w:r>
        <w:rPr>
          <w:rFonts w:hint="eastAsia" w:ascii="宋体" w:hAnsi="宋体" w:eastAsia="宋体" w:cs="仿宋"/>
          <w:b/>
          <w:bCs/>
          <w:kern w:val="0"/>
          <w:sz w:val="44"/>
          <w:szCs w:val="44"/>
        </w:rPr>
        <w:t>租户信用评分规则</w:t>
      </w:r>
    </w:p>
    <w:p>
      <w:pPr>
        <w:widowControl/>
        <w:spacing w:line="560" w:lineRule="exact"/>
        <w:jc w:val="center"/>
        <w:rPr>
          <w:rFonts w:ascii="仿宋" w:hAnsi="仿宋" w:eastAsia="仿宋" w:cs="仿宋"/>
          <w:b/>
          <w:bCs/>
          <w:kern w:val="0"/>
          <w:sz w:val="32"/>
          <w:szCs w:val="32"/>
        </w:rPr>
      </w:pPr>
    </w:p>
    <w:p>
      <w:pPr>
        <w:widowControl/>
        <w:spacing w:line="560" w:lineRule="exact"/>
        <w:jc w:val="left"/>
        <w:rPr>
          <w:rFonts w:ascii="仿宋" w:hAnsi="仿宋" w:eastAsia="仿宋" w:cs="宋体"/>
          <w:b/>
          <w:kern w:val="0"/>
          <w:sz w:val="32"/>
          <w:szCs w:val="32"/>
        </w:rPr>
      </w:pPr>
      <w:r>
        <w:rPr>
          <w:rFonts w:hint="eastAsia" w:ascii="仿宋" w:hAnsi="仿宋" w:eastAsia="仿宋" w:cs="宋体"/>
          <w:b/>
          <w:kern w:val="0"/>
          <w:sz w:val="32"/>
          <w:szCs w:val="32"/>
        </w:rPr>
        <w:t>一、适用范围</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公司所管理的市场性出租房产承租人。</w:t>
      </w:r>
    </w:p>
    <w:p>
      <w:pPr>
        <w:widowControl/>
        <w:spacing w:line="560" w:lineRule="exact"/>
        <w:jc w:val="left"/>
        <w:rPr>
          <w:rFonts w:ascii="仿宋" w:hAnsi="仿宋" w:eastAsia="仿宋" w:cs="宋体"/>
          <w:b/>
          <w:kern w:val="0"/>
          <w:sz w:val="32"/>
          <w:szCs w:val="32"/>
        </w:rPr>
      </w:pPr>
      <w:r>
        <w:rPr>
          <w:rFonts w:hint="eastAsia" w:ascii="仿宋" w:hAnsi="仿宋" w:eastAsia="仿宋" w:cs="宋体"/>
          <w:b/>
          <w:kern w:val="0"/>
          <w:sz w:val="32"/>
          <w:szCs w:val="32"/>
        </w:rPr>
        <w:t>二、评分办法</w:t>
      </w:r>
    </w:p>
    <w:p>
      <w:pPr>
        <w:widowControl/>
        <w:spacing w:line="560" w:lineRule="exact"/>
        <w:ind w:firstLine="570"/>
        <w:jc w:val="left"/>
        <w:rPr>
          <w:rFonts w:ascii="仿宋" w:hAnsi="仿宋" w:eastAsia="仿宋" w:cs="宋体"/>
          <w:kern w:val="0"/>
          <w:sz w:val="32"/>
          <w:szCs w:val="32"/>
        </w:rPr>
      </w:pPr>
      <w:r>
        <w:rPr>
          <w:rFonts w:hint="eastAsia" w:ascii="仿宋" w:hAnsi="仿宋" w:eastAsia="仿宋" w:cs="宋体"/>
          <w:kern w:val="0"/>
          <w:sz w:val="32"/>
          <w:szCs w:val="32"/>
        </w:rPr>
        <w:t>（一）对于延期缴纳租金的承租人：按延迟自然天数给予相应信用扣分(以合同约定租金缴纳日期和我司银行账户租金到账日期为计算延迟时间依据):租金缴纳每次逾期至应收当月的20日至最后一个自然日的，扣2分；逾期至应收当月的次月1日至15日，扣5分；逾期至应收当月的次月16日至的最后一个自然日内，扣10分；逾期至应收当月起的第三月1日至最后一个自然日内，扣20分。</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因经营困难向我司申请按月付款或延期付款的，经公司同意的，该租户当期扣10分。</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（二）对于不配合我司整改要求的承租人：</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按整改完成自然天数给予相应信用扣分（以整改通知书约定的整改期限至整改完成时间为依据）：每项每次整改延迟1-10日内，扣1分:11-20日内，扣2分;延迟21-30日，扣4分:以此类推，每多延迟10日，在前一档扣分的基础上加扣2分。</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2、对反复出现的需整改事项，每重复一次，加扣5分。</w:t>
      </w:r>
    </w:p>
    <w:p>
      <w:pPr>
        <w:widowControl/>
        <w:spacing w:line="560" w:lineRule="exact"/>
        <w:jc w:val="left"/>
        <w:rPr>
          <w:rFonts w:ascii="仿宋" w:hAnsi="仿宋" w:eastAsia="仿宋" w:cs="宋体"/>
          <w:b/>
          <w:kern w:val="0"/>
          <w:sz w:val="32"/>
          <w:szCs w:val="32"/>
        </w:rPr>
      </w:pPr>
      <w:r>
        <w:rPr>
          <w:rFonts w:hint="eastAsia" w:ascii="仿宋" w:hAnsi="仿宋" w:eastAsia="仿宋" w:cs="宋体"/>
          <w:b/>
          <w:kern w:val="0"/>
          <w:sz w:val="32"/>
          <w:szCs w:val="32"/>
        </w:rPr>
        <w:t>三、信用等级评定</w:t>
      </w:r>
    </w:p>
    <w:p>
      <w:pPr>
        <w:widowControl/>
        <w:spacing w:line="560" w:lineRule="exact"/>
        <w:ind w:firstLine="570"/>
        <w:jc w:val="left"/>
        <w:rPr>
          <w:rFonts w:ascii="仿宋" w:hAnsi="仿宋" w:eastAsia="仿宋" w:cs="宋体"/>
          <w:kern w:val="0"/>
          <w:sz w:val="32"/>
          <w:szCs w:val="32"/>
        </w:rPr>
      </w:pPr>
      <w:r>
        <w:rPr>
          <w:rFonts w:hint="eastAsia" w:ascii="仿宋" w:hAnsi="仿宋" w:eastAsia="仿宋" w:cs="宋体"/>
          <w:kern w:val="0"/>
          <w:sz w:val="32"/>
          <w:szCs w:val="32"/>
        </w:rPr>
        <w:t>承租人原始分100分，计分周期为合同期。</w:t>
      </w:r>
    </w:p>
    <w:p>
      <w:pPr>
        <w:widowControl/>
        <w:spacing w:line="560" w:lineRule="exact"/>
        <w:ind w:firstLine="570"/>
        <w:jc w:val="left"/>
        <w:rPr>
          <w:rFonts w:ascii="仿宋" w:hAnsi="仿宋" w:eastAsia="仿宋" w:cs="宋体"/>
          <w:kern w:val="0"/>
          <w:sz w:val="32"/>
          <w:szCs w:val="32"/>
        </w:rPr>
      </w:pPr>
      <w:r>
        <w:rPr>
          <w:rFonts w:hint="eastAsia" w:ascii="仿宋" w:hAnsi="仿宋" w:eastAsia="仿宋" w:cs="宋体"/>
          <w:kern w:val="0"/>
          <w:sz w:val="32"/>
          <w:szCs w:val="32"/>
        </w:rPr>
        <w:t>在一个计分周期内根据租户评分表进行累计扣分，按最终信用得分，将承租户信用等级分为五个等级，具体如下表:</w:t>
      </w:r>
    </w:p>
    <w:tbl>
      <w:tblPr>
        <w:tblStyle w:val="6"/>
        <w:tblW w:w="51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1408"/>
        <w:gridCol w:w="2432"/>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69"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信用等级</w:t>
            </w:r>
          </w:p>
        </w:tc>
        <w:tc>
          <w:tcPr>
            <w:tcW w:w="809"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信用评分</w:t>
            </w:r>
          </w:p>
        </w:tc>
        <w:tc>
          <w:tcPr>
            <w:tcW w:w="1397"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信用风险提示</w:t>
            </w:r>
          </w:p>
        </w:tc>
        <w:tc>
          <w:tcPr>
            <w:tcW w:w="2025"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限制性条款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69"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A</w:t>
            </w:r>
          </w:p>
        </w:tc>
        <w:tc>
          <w:tcPr>
            <w:tcW w:w="809"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100-80</w:t>
            </w:r>
          </w:p>
        </w:tc>
        <w:tc>
          <w:tcPr>
            <w:tcW w:w="1397"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信用优</w:t>
            </w:r>
          </w:p>
        </w:tc>
        <w:tc>
          <w:tcPr>
            <w:tcW w:w="2025"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69"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B</w:t>
            </w:r>
          </w:p>
        </w:tc>
        <w:tc>
          <w:tcPr>
            <w:tcW w:w="809"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79-70</w:t>
            </w:r>
          </w:p>
        </w:tc>
        <w:tc>
          <w:tcPr>
            <w:tcW w:w="1397"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信用良</w:t>
            </w:r>
          </w:p>
        </w:tc>
        <w:tc>
          <w:tcPr>
            <w:tcW w:w="2025"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取消优先承租权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69"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C</w:t>
            </w:r>
          </w:p>
        </w:tc>
        <w:tc>
          <w:tcPr>
            <w:tcW w:w="809"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69-60</w:t>
            </w:r>
          </w:p>
        </w:tc>
        <w:tc>
          <w:tcPr>
            <w:tcW w:w="1397"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信用一般</w:t>
            </w:r>
          </w:p>
        </w:tc>
        <w:tc>
          <w:tcPr>
            <w:tcW w:w="2025"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提高投标押金、租赁押金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69"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D</w:t>
            </w:r>
          </w:p>
        </w:tc>
        <w:tc>
          <w:tcPr>
            <w:tcW w:w="809"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59-50</w:t>
            </w:r>
          </w:p>
        </w:tc>
        <w:tc>
          <w:tcPr>
            <w:tcW w:w="1397"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存在信用风险</w:t>
            </w:r>
          </w:p>
        </w:tc>
        <w:tc>
          <w:tcPr>
            <w:tcW w:w="2025" w:type="pct"/>
            <w:vAlign w:val="bottom"/>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提供担保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69"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E</w:t>
            </w:r>
          </w:p>
        </w:tc>
        <w:tc>
          <w:tcPr>
            <w:tcW w:w="809"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49及以下</w:t>
            </w:r>
          </w:p>
        </w:tc>
        <w:tc>
          <w:tcPr>
            <w:tcW w:w="1397"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较高信用风险</w:t>
            </w:r>
          </w:p>
        </w:tc>
        <w:tc>
          <w:tcPr>
            <w:tcW w:w="2025" w:type="pct"/>
            <w:vAlign w:val="center"/>
          </w:tcPr>
          <w:p>
            <w:pPr>
              <w:widowControl/>
              <w:spacing w:line="560" w:lineRule="exact"/>
              <w:jc w:val="center"/>
              <w:rPr>
                <w:rFonts w:ascii="仿宋" w:hAnsi="仿宋" w:eastAsia="仿宋" w:cs="宋体"/>
                <w:kern w:val="0"/>
                <w:sz w:val="32"/>
                <w:szCs w:val="32"/>
              </w:rPr>
            </w:pPr>
            <w:r>
              <w:rPr>
                <w:rFonts w:hint="eastAsia" w:ascii="仿宋" w:hAnsi="仿宋" w:eastAsia="仿宋" w:cs="宋体"/>
                <w:kern w:val="0"/>
                <w:sz w:val="32"/>
                <w:szCs w:val="32"/>
              </w:rPr>
              <w:t>取消投标权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4"/>
            <w:vAlign w:val="center"/>
          </w:tcPr>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备注：如客户被评级为D，则限制条款累加为BCD项，以此类推。以上限制条款可根据招商情况进行适当调整。</w:t>
            </w:r>
          </w:p>
        </w:tc>
      </w:tr>
    </w:tbl>
    <w:p>
      <w:pPr>
        <w:widowControl/>
        <w:spacing w:line="560" w:lineRule="exact"/>
        <w:jc w:val="left"/>
        <w:rPr>
          <w:rFonts w:ascii="仿宋" w:hAnsi="仿宋" w:eastAsia="仿宋" w:cs="宋体"/>
          <w:kern w:val="0"/>
          <w:sz w:val="32"/>
          <w:szCs w:val="32"/>
        </w:rPr>
      </w:pPr>
      <w:r>
        <w:rPr>
          <w:rFonts w:hint="eastAsia" w:ascii="仿宋" w:hAnsi="仿宋" w:eastAsia="仿宋" w:cs="宋体"/>
          <w:b/>
          <w:kern w:val="0"/>
          <w:sz w:val="32"/>
          <w:szCs w:val="32"/>
        </w:rPr>
        <w:t>四</w:t>
      </w:r>
      <w:r>
        <w:rPr>
          <w:rFonts w:ascii="仿宋" w:hAnsi="仿宋" w:eastAsia="仿宋" w:cs="宋体"/>
          <w:b/>
          <w:kern w:val="0"/>
          <w:sz w:val="32"/>
          <w:szCs w:val="32"/>
        </w:rPr>
        <w:t>、</w:t>
      </w:r>
      <w:r>
        <w:rPr>
          <w:rFonts w:hint="eastAsia" w:ascii="仿宋" w:hAnsi="仿宋" w:eastAsia="仿宋" w:cs="宋体"/>
          <w:b/>
          <w:kern w:val="0"/>
          <w:sz w:val="32"/>
          <w:szCs w:val="32"/>
        </w:rPr>
        <w:t>禁止参加我司房产招租的情形</w:t>
      </w:r>
    </w:p>
    <w:p>
      <w:pPr>
        <w:widowControl/>
        <w:spacing w:line="560" w:lineRule="exact"/>
        <w:ind w:left="141" w:leftChars="67"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存在以下情形的企业、其他组织（含其关联企业）及其股东或合伙人和自然人（含其新设立的企业）不得参加我司房产招租：</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（1）拖欠厦门市对外服务中心有限公司及所属企业租金的；</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（2）与厦门市对外服务中心有限公司及所属企业有诉讼或纠纷未解决的；</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（3）在全国企业信用信息公示系统上存在不良信用记录的；</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（4）被列入市国有企业或厦门国贸控股集团有限公司承租信用体系负面名单的；</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（5）被列入失信被执行人员名单的；</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（6）征信报告有不良记录的；</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（7）在我司租户信用等级评定为E级的；</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（8）其他可能影响按期支付租金的不良情形。</w:t>
      </w: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p>
    <w:p>
      <w:pPr>
        <w:spacing w:line="560" w:lineRule="exact"/>
        <w:outlineLvl w:val="0"/>
        <w:rPr>
          <w:rFonts w:ascii="仿宋" w:hAnsi="仿宋" w:eastAsia="仿宋" w:cs="宋体"/>
          <w:kern w:val="0"/>
          <w:sz w:val="32"/>
          <w:szCs w:val="32"/>
        </w:rPr>
      </w:pPr>
    </w:p>
    <w:p>
      <w:pPr>
        <w:spacing w:line="560" w:lineRule="exact"/>
        <w:ind w:firstLine="4000" w:firstLineChars="1250"/>
        <w:outlineLvl w:val="0"/>
        <w:rPr>
          <w:rFonts w:ascii="仿宋" w:hAnsi="仿宋" w:eastAsia="仿宋"/>
          <w:sz w:val="32"/>
          <w:szCs w:val="32"/>
        </w:rPr>
      </w:pPr>
      <w:r>
        <w:rPr>
          <w:rFonts w:hint="eastAsia" w:ascii="仿宋" w:hAnsi="仿宋" w:eastAsia="仿宋"/>
          <w:sz w:val="32"/>
          <w:szCs w:val="32"/>
        </w:rPr>
        <w:t>厦门市对外服务中心有限公司</w:t>
      </w:r>
    </w:p>
    <w:p>
      <w:pPr>
        <w:spacing w:line="560" w:lineRule="exact"/>
        <w:ind w:firstLine="1600" w:firstLineChars="500"/>
        <w:outlineLvl w:val="0"/>
        <w:rPr>
          <w:rFonts w:ascii="仿宋" w:hAnsi="仿宋" w:eastAsia="仿宋"/>
          <w:sz w:val="32"/>
          <w:szCs w:val="32"/>
        </w:rPr>
      </w:pPr>
      <w:r>
        <w:rPr>
          <w:rFonts w:hint="eastAsia" w:ascii="仿宋" w:hAnsi="仿宋" w:eastAsia="仿宋"/>
          <w:sz w:val="32"/>
          <w:szCs w:val="32"/>
        </w:rPr>
        <w:t xml:space="preserve">                     2025年11月5日</w:t>
      </w:r>
    </w:p>
    <w:sectPr>
      <w:headerReference r:id="rId3" w:type="default"/>
      <w:footerReference r:id="rId4" w:type="default"/>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34214907" o:spid="_x0000_s2082" o:spt="136" type="#_x0000_t136" style="position:absolute;left:0pt;margin-left:493.4pt;margin-top:543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33695358" o:spid="_x0000_s2081" o:spt="136" type="#_x0000_t136" style="position:absolute;left:0pt;margin-left:407.85pt;margin-top:628.55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33312098" o:spid="_x0000_s2080" o:spt="136" type="#_x0000_t136" style="position:absolute;left:0pt;margin-left:322.3pt;margin-top:714.1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33163299" o:spid="_x0000_s2079" o:spt="136" type="#_x0000_t136" style="position:absolute;left:0pt;margin-left:236.7pt;margin-top:799.65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32236209" o:spid="_x0000_s2078" o:spt="136" type="#_x0000_t136" style="position:absolute;left:0pt;margin-left:493.4pt;margin-top:337.7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31675996" o:spid="_x0000_s2077" o:spt="136" type="#_x0000_t136" style="position:absolute;left:0pt;margin-left:407.85pt;margin-top:423.25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30806843" o:spid="_x0000_s2076" o:spt="136" type="#_x0000_t136" style="position:absolute;left:0pt;margin-left:322.3pt;margin-top:508.8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30410562" o:spid="_x0000_s2075" o:spt="136" type="#_x0000_t136" style="position:absolute;left:0pt;margin-left:236.7pt;margin-top:594.35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9972717" o:spid="_x0000_s2074" o:spt="136" type="#_x0000_t136" style="position:absolute;left:0pt;margin-left:151.15pt;margin-top:679.9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9042334" o:spid="_x0000_s2073" o:spt="136" type="#_x0000_t136" style="position:absolute;left:0pt;margin-left:65.6pt;margin-top:765.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8155665" o:spid="_x0000_s2072" o:spt="136" type="#_x0000_t136" style="position:absolute;left:0pt;margin-left:493.4pt;margin-top:132.35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7889700" o:spid="_x0000_s2071" o:spt="136" type="#_x0000_t136" style="position:absolute;left:0pt;margin-left:407.85pt;margin-top:217.95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7233985" o:spid="_x0000_s2070" o:spt="136" type="#_x0000_t136" style="position:absolute;left:0pt;margin-left:322.3pt;margin-top:303.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6751962" o:spid="_x0000_s2069" o:spt="136" type="#_x0000_t136" style="position:absolute;left:0pt;margin-left:236.7pt;margin-top:389.05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6697796" o:spid="_x0000_s2068" o:spt="136" type="#_x0000_t136" style="position:absolute;left:0pt;margin-left:151.15pt;margin-top:474.6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6507591" o:spid="_x0000_s2067" o:spt="136" type="#_x0000_t136" style="position:absolute;left:0pt;margin-left:65.6pt;margin-top:560.15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6238598" o:spid="_x0000_s2066" o:spt="136" type="#_x0000_t136" style="position:absolute;left:0pt;margin-left:-19.95pt;margin-top:645.75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5946790" o:spid="_x0000_s2065" o:spt="136" type="#_x0000_t136" style="position:absolute;left:0pt;margin-left:-105.5pt;margin-top:731.3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5549082" o:spid="_x0000_s2064" o:spt="136" type="#_x0000_t136" style="position:absolute;left:0pt;margin-left:493.4pt;margin-top:-72.95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5511348" o:spid="_x0000_s2063" o:spt="136" type="#_x0000_t136" style="position:absolute;left:0pt;margin-left:407.85pt;margin-top:12.6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5214072" o:spid="_x0000_s2062" o:spt="136" type="#_x0000_t136" style="position:absolute;left:0pt;margin-left:322.3pt;margin-top:98.15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4629132" o:spid="_x0000_s2061" o:spt="136" type="#_x0000_t136" style="position:absolute;left:0pt;margin-left:236.7pt;margin-top:183.75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3626122" o:spid="_x0000_s2060" o:spt="136" type="#_x0000_t136" style="position:absolute;left:0pt;margin-left:151.15pt;margin-top:269.3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2909010" o:spid="_x0000_s2059" o:spt="136" type="#_x0000_t136" style="position:absolute;left:0pt;margin-left:65.6pt;margin-top:354.8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2157529" o:spid="_x0000_s2058" o:spt="136" type="#_x0000_t136" style="position:absolute;left:0pt;margin-left:-19.95pt;margin-top:440.4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1733782" o:spid="_x0000_s2057" o:spt="136" type="#_x0000_t136" style="position:absolute;left:0pt;margin-left:-105.5pt;margin-top:525.95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1031991" o:spid="_x0000_s2056" o:spt="136" type="#_x0000_t136" style="position:absolute;left:0pt;margin-left:236.7pt;margin-top:-21.6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0876571" o:spid="_x0000_s2055" o:spt="136" type="#_x0000_t136" style="position:absolute;left:0pt;margin-left:151.15pt;margin-top:64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0214572" o:spid="_x0000_s2054" o:spt="136" type="#_x0000_t136" style="position:absolute;left:0pt;margin-left:65.6pt;margin-top:149.55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19582639" o:spid="_x0000_s2053" o:spt="136" type="#_x0000_t136" style="position:absolute;left:0pt;margin-left:-19.95pt;margin-top:235.1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19490101" o:spid="_x0000_s2052" o:spt="136" type="#_x0000_t136" style="position:absolute;left:0pt;margin-left:-105.5pt;margin-top:320.65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19342719" o:spid="_x0000_s2051" o:spt="136" type="#_x0000_t136" style="position:absolute;left:0pt;margin-left:65.6pt;margin-top:-55.8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18557939" o:spid="_x0000_s2050" o:spt="136" type="#_x0000_t136" style="position:absolute;left:0pt;margin-left:-19.95pt;margin-top:29.8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17854057" o:spid="_x0000_s2049" o:spt="136" type="#_x0000_t136" style="position:absolute;left:0pt;margin-left:-105.5pt;margin-top:115.35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mQ4YzBhZGVjZDJkY2IwNTMwYTQ4YjFmZWNmNWYifQ=="/>
  </w:docVars>
  <w:rsids>
    <w:rsidRoot w:val="00FD36AE"/>
    <w:rsid w:val="000466BB"/>
    <w:rsid w:val="00053098"/>
    <w:rsid w:val="00067F0E"/>
    <w:rsid w:val="000A632C"/>
    <w:rsid w:val="000A7E67"/>
    <w:rsid w:val="000B67E5"/>
    <w:rsid w:val="00123C92"/>
    <w:rsid w:val="00143F8E"/>
    <w:rsid w:val="00146D49"/>
    <w:rsid w:val="00147DD1"/>
    <w:rsid w:val="00160CE7"/>
    <w:rsid w:val="0017354E"/>
    <w:rsid w:val="00174555"/>
    <w:rsid w:val="001747A2"/>
    <w:rsid w:val="00196BE3"/>
    <w:rsid w:val="001C4565"/>
    <w:rsid w:val="001C5907"/>
    <w:rsid w:val="001E02B9"/>
    <w:rsid w:val="001E1CE9"/>
    <w:rsid w:val="00204B96"/>
    <w:rsid w:val="00223AD0"/>
    <w:rsid w:val="002368D2"/>
    <w:rsid w:val="00247CF0"/>
    <w:rsid w:val="00251005"/>
    <w:rsid w:val="002534CA"/>
    <w:rsid w:val="00253854"/>
    <w:rsid w:val="002813F6"/>
    <w:rsid w:val="0028553F"/>
    <w:rsid w:val="002A670D"/>
    <w:rsid w:val="002B24E3"/>
    <w:rsid w:val="00316D6F"/>
    <w:rsid w:val="00330893"/>
    <w:rsid w:val="00330DAA"/>
    <w:rsid w:val="0034115C"/>
    <w:rsid w:val="0034273C"/>
    <w:rsid w:val="003E1F69"/>
    <w:rsid w:val="00436EA0"/>
    <w:rsid w:val="0046443F"/>
    <w:rsid w:val="00465FE7"/>
    <w:rsid w:val="0047037C"/>
    <w:rsid w:val="004E7D54"/>
    <w:rsid w:val="005126EF"/>
    <w:rsid w:val="00522F4E"/>
    <w:rsid w:val="0054183D"/>
    <w:rsid w:val="005E074D"/>
    <w:rsid w:val="0066622F"/>
    <w:rsid w:val="006A47C8"/>
    <w:rsid w:val="006B6ECB"/>
    <w:rsid w:val="006F0529"/>
    <w:rsid w:val="006F1D30"/>
    <w:rsid w:val="007066B9"/>
    <w:rsid w:val="00712E8F"/>
    <w:rsid w:val="00741975"/>
    <w:rsid w:val="00765ABF"/>
    <w:rsid w:val="0077466D"/>
    <w:rsid w:val="00776B10"/>
    <w:rsid w:val="007858CF"/>
    <w:rsid w:val="007A785E"/>
    <w:rsid w:val="007B5810"/>
    <w:rsid w:val="007D4779"/>
    <w:rsid w:val="007F6836"/>
    <w:rsid w:val="00800517"/>
    <w:rsid w:val="00812531"/>
    <w:rsid w:val="00836D17"/>
    <w:rsid w:val="008563DD"/>
    <w:rsid w:val="00885079"/>
    <w:rsid w:val="00896EA1"/>
    <w:rsid w:val="008E579A"/>
    <w:rsid w:val="00926250"/>
    <w:rsid w:val="00931817"/>
    <w:rsid w:val="00956645"/>
    <w:rsid w:val="00985F46"/>
    <w:rsid w:val="009870E8"/>
    <w:rsid w:val="009B3BF9"/>
    <w:rsid w:val="009C59E1"/>
    <w:rsid w:val="009E3A53"/>
    <w:rsid w:val="00A070C4"/>
    <w:rsid w:val="00A13EBD"/>
    <w:rsid w:val="00A165A8"/>
    <w:rsid w:val="00A33EB7"/>
    <w:rsid w:val="00A67FEA"/>
    <w:rsid w:val="00A7613C"/>
    <w:rsid w:val="00A85762"/>
    <w:rsid w:val="00A92C74"/>
    <w:rsid w:val="00AB72BF"/>
    <w:rsid w:val="00AC7253"/>
    <w:rsid w:val="00AD6B1A"/>
    <w:rsid w:val="00AE1E12"/>
    <w:rsid w:val="00B372B0"/>
    <w:rsid w:val="00B80B85"/>
    <w:rsid w:val="00B80BEA"/>
    <w:rsid w:val="00BB0655"/>
    <w:rsid w:val="00C433D3"/>
    <w:rsid w:val="00C504B1"/>
    <w:rsid w:val="00CA06E8"/>
    <w:rsid w:val="00CC5778"/>
    <w:rsid w:val="00CC5BB1"/>
    <w:rsid w:val="00CF0162"/>
    <w:rsid w:val="00CF0927"/>
    <w:rsid w:val="00CF337D"/>
    <w:rsid w:val="00D101E4"/>
    <w:rsid w:val="00D16BBF"/>
    <w:rsid w:val="00D50FC0"/>
    <w:rsid w:val="00D51829"/>
    <w:rsid w:val="00D527C9"/>
    <w:rsid w:val="00D560A6"/>
    <w:rsid w:val="00D8160B"/>
    <w:rsid w:val="00D87699"/>
    <w:rsid w:val="00D91B86"/>
    <w:rsid w:val="00DD2E68"/>
    <w:rsid w:val="00DF0D2F"/>
    <w:rsid w:val="00E07757"/>
    <w:rsid w:val="00E1063B"/>
    <w:rsid w:val="00E4356A"/>
    <w:rsid w:val="00E77D53"/>
    <w:rsid w:val="00E96920"/>
    <w:rsid w:val="00EC11CD"/>
    <w:rsid w:val="00EE15DE"/>
    <w:rsid w:val="00F01B59"/>
    <w:rsid w:val="00F17E2E"/>
    <w:rsid w:val="00F472E5"/>
    <w:rsid w:val="00F7284E"/>
    <w:rsid w:val="00F731B0"/>
    <w:rsid w:val="00F76DF6"/>
    <w:rsid w:val="00F94186"/>
    <w:rsid w:val="00FA6E35"/>
    <w:rsid w:val="00FB5590"/>
    <w:rsid w:val="00FB5A76"/>
    <w:rsid w:val="00FB6443"/>
    <w:rsid w:val="00FB6A98"/>
    <w:rsid w:val="00FD36AE"/>
    <w:rsid w:val="27071089"/>
    <w:rsid w:val="3DA54A96"/>
    <w:rsid w:val="54F84375"/>
    <w:rsid w:val="557C93A2"/>
    <w:rsid w:val="57F33465"/>
    <w:rsid w:val="5CE454B2"/>
    <w:rsid w:val="5F304AA0"/>
    <w:rsid w:val="651568FC"/>
    <w:rsid w:val="741B20C8"/>
    <w:rsid w:val="7C7966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152</Words>
  <Characters>872</Characters>
  <Lines>7</Lines>
  <Paragraphs>2</Paragraphs>
  <TotalTime>10</TotalTime>
  <ScaleCrop>false</ScaleCrop>
  <LinksUpToDate>false</LinksUpToDate>
  <CharactersWithSpaces>1022</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2022-05-11T14:55:00Z</dcterms:created>
  <dc:creator>李岩</dc:creator>
  <cp:lastModifiedBy>林惠青</cp:lastModifiedBy>
  <cp:lastPrinted>2019-11-12T11:44:00Z</cp:lastPrinted>
  <dcterms:modified xsi:type="dcterms:W3CDTF">2025-11-03T09:50:25Z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7F30A51A0C05474B81B0C7E91B8E6890</vt:lpwstr>
  </property>
</Properties>
</file>