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5CFCE">
      <w:pPr>
        <w:jc w:val="center"/>
        <w:rPr>
          <w:rFonts w:hint="eastAsia" w:ascii="仿宋" w:hAnsi="仿宋" w:eastAsia="仿宋" w:cs="仿宋"/>
          <w:b/>
          <w:color w:val="auto"/>
          <w:sz w:val="32"/>
          <w:highlight w:val="none"/>
        </w:rPr>
      </w:pPr>
      <w:bookmarkStart w:id="1" w:name="_GoBack"/>
      <w:r>
        <w:rPr>
          <w:rFonts w:hint="eastAsia" w:ascii="仿宋" w:hAnsi="仿宋" w:eastAsia="仿宋" w:cs="仿宋"/>
          <w:b/>
          <w:color w:val="auto"/>
          <w:sz w:val="32"/>
          <w:highlight w:val="none"/>
        </w:rPr>
        <w:t>房屋租赁合同</w:t>
      </w:r>
    </w:p>
    <w:p w14:paraId="54E1F172">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AF8738F">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14:paraId="28762A4A">
      <w:pPr>
        <w:spacing w:line="240" w:lineRule="auto"/>
        <w:jc w:val="center"/>
        <w:rPr>
          <w:rFonts w:hint="eastAsia" w:ascii="仿宋" w:hAnsi="仿宋" w:eastAsia="仿宋" w:cs="仿宋"/>
          <w:color w:val="auto"/>
          <w:highlight w:val="none"/>
        </w:rPr>
      </w:pPr>
    </w:p>
    <w:p w14:paraId="58411DBE">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14:paraId="551ED917">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1B7B23BF">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14:paraId="5E170870">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p>
    <w:p w14:paraId="34AB976A">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35DC9879">
      <w:pPr>
        <w:spacing w:line="276" w:lineRule="auto"/>
        <w:rPr>
          <w:rFonts w:hint="eastAsia" w:ascii="仿宋" w:hAnsi="仿宋" w:eastAsia="仿宋" w:cs="仿宋"/>
          <w:color w:val="auto"/>
          <w:highlight w:val="none"/>
        </w:rPr>
      </w:pPr>
    </w:p>
    <w:p w14:paraId="6AD22110">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14:paraId="1A4B4B1E">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558D6B61">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14:paraId="2D5D4BE5">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6F3559FE">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6CCA6240">
      <w:pPr>
        <w:spacing w:line="240" w:lineRule="auto"/>
        <w:rPr>
          <w:rFonts w:hint="eastAsia" w:ascii="仿宋" w:hAnsi="仿宋" w:eastAsia="仿宋" w:cs="仿宋"/>
          <w:color w:val="auto"/>
          <w:highlight w:val="none"/>
        </w:rPr>
      </w:pPr>
    </w:p>
    <w:p w14:paraId="2B28308E">
      <w:pPr>
        <w:spacing w:line="240" w:lineRule="auto"/>
        <w:rPr>
          <w:rFonts w:hint="eastAsia" w:ascii="仿宋" w:hAnsi="仿宋" w:eastAsia="仿宋" w:cs="仿宋"/>
          <w:color w:val="auto"/>
          <w:highlight w:val="none"/>
        </w:rPr>
      </w:pPr>
    </w:p>
    <w:p w14:paraId="3FDB8271">
      <w:pPr>
        <w:spacing w:line="240" w:lineRule="auto"/>
        <w:ind w:firstLine="475" w:firstLineChars="198"/>
        <w:rPr>
          <w:rFonts w:hint="eastAsia" w:ascii="仿宋" w:hAnsi="仿宋" w:eastAsia="仿宋" w:cs="仿宋"/>
          <w:color w:val="auto"/>
          <w:kern w:val="0"/>
          <w:highlight w:val="none"/>
        </w:rPr>
      </w:pPr>
      <w:r>
        <w:rPr>
          <w:rFonts w:hint="eastAsia" w:ascii="仿宋" w:hAnsi="仿宋" w:eastAsia="仿宋" w:cs="仿宋"/>
          <w:color w:val="auto"/>
          <w:highlight w:val="none"/>
        </w:rPr>
        <w:t>厦门海翼集团有限公司为本合同项下房屋的所有权人，授权甲方负责本合同项下房产的经营管理</w:t>
      </w:r>
      <w:r>
        <w:rPr>
          <w:rFonts w:hint="eastAsia" w:ascii="仿宋" w:hAnsi="仿宋" w:eastAsia="仿宋" w:cs="仿宋"/>
          <w:color w:val="auto"/>
          <w:kern w:val="0"/>
          <w:highlight w:val="none"/>
        </w:rPr>
        <w:t>（详见附件1）。（选择性条款）</w:t>
      </w:r>
      <w:r>
        <w:rPr>
          <w:rFonts w:hint="eastAsia" w:ascii="仿宋" w:hAnsi="仿宋" w:eastAsia="仿宋" w:cs="仿宋"/>
          <w:color w:val="auto"/>
          <w:kern w:val="0"/>
          <w:highlight w:val="none"/>
        </w:rPr>
        <w:t>根据《中华人民共和国民法典》及有关法律法规之规定，甲、乙双方经友好协商一致，就房屋租赁事宜达成协议如下：</w:t>
      </w:r>
    </w:p>
    <w:p w14:paraId="6327EE22">
      <w:pPr>
        <w:spacing w:line="240" w:lineRule="auto"/>
        <w:ind w:firstLine="477" w:firstLineChars="198"/>
        <w:rPr>
          <w:rFonts w:hint="eastAsia" w:ascii="仿宋" w:hAnsi="仿宋" w:eastAsia="仿宋" w:cs="仿宋"/>
          <w:color w:val="auto"/>
          <w:highlight w:val="none"/>
        </w:rPr>
      </w:pPr>
      <w:r>
        <w:rPr>
          <w:rFonts w:hint="eastAsia" w:ascii="仿宋" w:hAnsi="仿宋" w:eastAsia="仿宋" w:cs="仿宋"/>
          <w:b/>
          <w:bCs/>
          <w:color w:val="auto"/>
          <w:highlight w:val="none"/>
        </w:rPr>
        <w:t>第一条  租赁房屋基本情况</w:t>
      </w:r>
    </w:p>
    <w:p w14:paraId="0DE77A54">
      <w:pPr>
        <w:spacing w:line="240" w:lineRule="auto"/>
        <w:ind w:firstLine="475" w:firstLineChars="198"/>
        <w:rPr>
          <w:rFonts w:hint="eastAsia" w:ascii="仿宋" w:hAnsi="仿宋" w:eastAsia="仿宋" w:cs="仿宋"/>
          <w:bCs/>
          <w:iCs/>
          <w:color w:val="auto"/>
          <w:kern w:val="0"/>
          <w:highlight w:val="none"/>
        </w:rPr>
      </w:pPr>
      <w:r>
        <w:rPr>
          <w:rFonts w:hint="eastAsia" w:ascii="仿宋" w:hAnsi="仿宋" w:eastAsia="仿宋" w:cs="仿宋"/>
          <w:color w:val="auto"/>
          <w:highlight w:val="none"/>
        </w:rPr>
        <w:t>1、甲方将坐落于厦门市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号第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单元(</w:t>
      </w:r>
      <w:r>
        <w:rPr>
          <w:rFonts w:hint="eastAsia" w:ascii="仿宋" w:hAnsi="仿宋" w:eastAsia="仿宋" w:cs="仿宋"/>
          <w:color w:val="auto"/>
          <w:highlight w:val="none"/>
        </w:rPr>
        <w:t>营业执照</w:t>
      </w:r>
      <w:r>
        <w:rPr>
          <w:rFonts w:hint="eastAsia" w:ascii="仿宋" w:hAnsi="仿宋" w:eastAsia="仿宋" w:cs="仿宋"/>
          <w:color w:val="auto"/>
          <w:highlight w:val="none"/>
        </w:rPr>
        <w:t>注册楼层及单元号) (大楼名称：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栋楼，电梯编号楼层第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层）的房屋（以下简称“租赁房屋”）出租给乙方, 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bCs/>
          <w:iCs/>
          <w:color w:val="auto"/>
          <w:kern w:val="0"/>
          <w:highlight w:val="none"/>
        </w:rPr>
        <w:t>。</w:t>
      </w:r>
    </w:p>
    <w:p w14:paraId="044C922E">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2、租赁房屋用途为</w:t>
      </w:r>
      <w:r>
        <w:rPr>
          <w:rFonts w:hint="eastAsia" w:ascii="仿宋" w:hAnsi="仿宋" w:eastAsia="仿宋" w:cs="仿宋"/>
          <w:color w:val="auto"/>
          <w:kern w:val="0"/>
          <w:highlight w:val="none"/>
          <w:u w:val="single"/>
        </w:rPr>
        <w:t>办公</w:t>
      </w:r>
      <w:r>
        <w:rPr>
          <w:rFonts w:hint="eastAsia" w:ascii="仿宋" w:hAnsi="仿宋" w:eastAsia="仿宋" w:cs="仿宋"/>
          <w:color w:val="auto"/>
          <w:kern w:val="0"/>
          <w:highlight w:val="none"/>
        </w:rPr>
        <w:t>；</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14:paraId="0890A1E4">
      <w:pPr>
        <w:spacing w:line="240"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以下情况详见合同附件：</w:t>
      </w:r>
    </w:p>
    <w:p w14:paraId="2F9F5DA1">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1、租赁房屋在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大厦中的具体位置（详见附件2）；</w:t>
      </w:r>
    </w:p>
    <w:p w14:paraId="0FD7AD00">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2、租赁房屋配置情况（详见附件3）。</w:t>
      </w:r>
    </w:p>
    <w:p w14:paraId="6014A5BA">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乙方确认对租赁房屋及其附属设备设施（包括但不限于装修、供水、供电、消防、空调设备设施等，下同）等租赁物的现状、权属状况等已有充分了解，且无任何异议，同意按租赁房屋及其附属设备设施等租赁物交付时的现状承租。</w:t>
      </w:r>
    </w:p>
    <w:p w14:paraId="1326AA6A">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第二条 租赁期限</w:t>
      </w:r>
    </w:p>
    <w:p w14:paraId="4D644FD1">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14:paraId="1C56DE51">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u w:val="singl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auto"/>
          <w:highlight w:val="none"/>
        </w:rPr>
        <w:t>（选择性条款，适用于：非空置房、非原租户续租合同）</w:t>
      </w:r>
    </w:p>
    <w:p w14:paraId="4B9B97A7">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14:paraId="2B15AD6C">
      <w:pPr>
        <w:tabs>
          <w:tab w:val="right" w:pos="8306"/>
        </w:tabs>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r>
        <w:rPr>
          <w:rFonts w:hint="eastAsia" w:ascii="仿宋" w:hAnsi="仿宋" w:eastAsia="仿宋" w:cs="仿宋"/>
          <w:b/>
          <w:bCs/>
          <w:color w:val="auto"/>
          <w:highlight w:val="none"/>
        </w:rPr>
        <w:tab/>
      </w:r>
    </w:p>
    <w:p w14:paraId="79AAD435">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w:t>
      </w:r>
      <w:r>
        <w:rPr>
          <w:rFonts w:hint="eastAsia" w:ascii="仿宋" w:hAnsi="仿宋" w:eastAsia="仿宋" w:cs="仿宋"/>
          <w:color w:val="auto"/>
          <w:highlight w:val="none"/>
        </w:rPr>
        <w:t>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14:paraId="60328F18">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14:paraId="299BFC80">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14:paraId="11B3870C">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14:paraId="0EA86855">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vAlign w:val="center"/>
          </w:tcPr>
          <w:p w14:paraId="6DB74BD5">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14:paraId="2BE52B1B">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14:paraId="1A1D5008">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14:paraId="2F50A1D7">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vAlign w:val="center"/>
          </w:tcPr>
          <w:p w14:paraId="435D7DB6">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14:paraId="74AC8954">
            <w:pPr>
              <w:widowControl/>
              <w:jc w:val="center"/>
              <w:rPr>
                <w:rFonts w:hint="eastAsia" w:ascii="仿宋" w:hAnsi="仿宋" w:eastAsia="仿宋" w:cs="仿宋"/>
                <w:color w:val="auto"/>
                <w:kern w:val="0"/>
                <w:sz w:val="21"/>
                <w:szCs w:val="21"/>
                <w:highlight w:val="none"/>
              </w:rPr>
            </w:pPr>
          </w:p>
        </w:tc>
      </w:tr>
      <w:tr w14:paraId="4E820A4C">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14:paraId="719407C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w:t>
            </w:r>
            <w:r>
              <w:rPr>
                <w:rFonts w:hint="eastAsia" w:ascii="仿宋" w:hAnsi="仿宋" w:eastAsia="仿宋" w:cs="仿宋"/>
                <w:color w:val="auto"/>
                <w:kern w:val="0"/>
                <w:sz w:val="21"/>
                <w:szCs w:val="21"/>
                <w:highlight w:val="none"/>
              </w:rPr>
              <w:t>（含租金优惠期）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vAlign w:val="center"/>
          </w:tcPr>
          <w:p w14:paraId="56FAC145">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14:paraId="6CD5509A">
            <w:pPr>
              <w:widowControl/>
              <w:jc w:val="center"/>
              <w:rPr>
                <w:rFonts w:hint="eastAsia" w:ascii="仿宋" w:hAnsi="仿宋" w:eastAsia="仿宋" w:cs="仿宋"/>
                <w:color w:val="auto"/>
                <w:kern w:val="0"/>
                <w:sz w:val="21"/>
                <w:szCs w:val="21"/>
                <w:highlight w:val="none"/>
              </w:rPr>
            </w:pPr>
          </w:p>
        </w:tc>
      </w:tr>
      <w:tr w14:paraId="5C13A0E3">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14:paraId="6DD1E43E">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14:paraId="282E082D">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14:paraId="08FC5E5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14:paraId="54BB3D90">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14:paraId="2E35ABFC">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14:paraId="5A36F9C6">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78100319">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14:paraId="1953BFBC">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3CEF4745">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428DEFD8">
            <w:pPr>
              <w:widowControl/>
              <w:jc w:val="center"/>
              <w:rPr>
                <w:rFonts w:hint="eastAsia" w:ascii="仿宋" w:hAnsi="仿宋" w:eastAsia="仿宋" w:cs="仿宋"/>
                <w:color w:val="auto"/>
                <w:kern w:val="0"/>
                <w:sz w:val="21"/>
                <w:szCs w:val="21"/>
                <w:highlight w:val="none"/>
              </w:rPr>
            </w:pPr>
          </w:p>
        </w:tc>
      </w:tr>
      <w:tr w14:paraId="5FDE08C6">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14:paraId="0A1905A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14:paraId="7CF9F67C">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1C71DCB3">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572C76FF">
            <w:pPr>
              <w:widowControl/>
              <w:jc w:val="center"/>
              <w:rPr>
                <w:rFonts w:hint="eastAsia" w:ascii="仿宋" w:hAnsi="仿宋" w:eastAsia="仿宋" w:cs="仿宋"/>
                <w:color w:val="auto"/>
                <w:kern w:val="0"/>
                <w:sz w:val="21"/>
                <w:szCs w:val="21"/>
                <w:highlight w:val="none"/>
              </w:rPr>
            </w:pPr>
          </w:p>
        </w:tc>
      </w:tr>
      <w:tr w14:paraId="6E17EFFB">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64038299">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14:paraId="75B60C48">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64022B27">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423E60E4">
            <w:pPr>
              <w:widowControl/>
              <w:jc w:val="center"/>
              <w:rPr>
                <w:rFonts w:hint="eastAsia" w:ascii="仿宋" w:hAnsi="仿宋" w:eastAsia="仿宋" w:cs="仿宋"/>
                <w:color w:val="auto"/>
                <w:kern w:val="0"/>
                <w:sz w:val="21"/>
                <w:szCs w:val="21"/>
                <w:highlight w:val="none"/>
              </w:rPr>
            </w:pPr>
          </w:p>
        </w:tc>
      </w:tr>
      <w:tr w14:paraId="64400263">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275E5244">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14:paraId="6886CBB3">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1641796E">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68DC3DE9">
            <w:pPr>
              <w:widowControl/>
              <w:jc w:val="center"/>
              <w:rPr>
                <w:rFonts w:hint="eastAsia" w:ascii="仿宋" w:hAnsi="仿宋" w:eastAsia="仿宋" w:cs="仿宋"/>
                <w:color w:val="auto"/>
                <w:kern w:val="0"/>
                <w:sz w:val="21"/>
                <w:szCs w:val="21"/>
                <w:highlight w:val="none"/>
              </w:rPr>
            </w:pPr>
          </w:p>
        </w:tc>
      </w:tr>
      <w:tr w14:paraId="089BF6BB">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14:paraId="06A87BA4">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14:paraId="62552798">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14:paraId="77DCCCE1">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14:paraId="6CACCBB2">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14:paraId="3C0F648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1、租赁期间，除租金外，乙方因租赁房屋产生的一切费用，包括但不限于水电费（含公摊）、物业管理费、公共维修金、通讯费用、网络费用以及本合同未列明的其他费用均由乙方自行承担。</w:t>
      </w:r>
    </w:p>
    <w:p w14:paraId="35904212">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2、乙方接受甲方选定或委托的物业公司的物业管理服务，签署《</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大厦管理规约》、《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大厦用户手册》、《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装修指南》并接受其约束；乙方应按时缴纳物业管理费、公共维修金、水电费（含公摊）等费用。乙方应从甲方发出的《交房通知书》上写明的交房之日起计交上述费用，该租赁房产物业管理费的收费标准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元/平方米/月，公共维修金为人民币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元/平方米/月。上述费用按照甲方的安排支付给甲方或甲方选定或委托的物业管理公司，今后上述费用的调整和缴纳方式按相关部门或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大厦的统一规定为准。</w:t>
      </w:r>
    </w:p>
    <w:p w14:paraId="7A437AC3">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3、乙方应依照相关单位的规定自行按时缴交各项费用，若有拖欠，所造成的后果由乙方自行负责，若因此而造成甲方损失，乙方应负责赔偿。</w:t>
      </w:r>
    </w:p>
    <w:p w14:paraId="09C97CF6">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14:paraId="11CB8F0F">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w:t>
      </w:r>
      <w:r>
        <w:rPr>
          <w:rFonts w:hint="eastAsia" w:ascii="仿宋" w:hAnsi="仿宋" w:eastAsia="仿宋" w:cs="仿宋"/>
          <w:color w:val="auto"/>
          <w:highlight w:val="none"/>
        </w:rPr>
        <w:t>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w:t>
      </w:r>
      <w:r>
        <w:rPr>
          <w:rFonts w:hint="eastAsia" w:ascii="仿宋" w:hAnsi="仿宋" w:eastAsia="仿宋" w:cs="仿宋"/>
          <w:color w:val="auto"/>
          <w:highlight w:val="none"/>
        </w:rPr>
        <w:t>，超出部分人民币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w:t>
      </w:r>
      <w:r>
        <w:rPr>
          <w:rFonts w:hint="eastAsia" w:ascii="仿宋" w:hAnsi="仿宋" w:eastAsia="仿宋" w:cs="仿宋"/>
          <w:color w:val="auto"/>
          <w:highlight w:val="none"/>
        </w:rPr>
        <w:t>（选择性条款）</w:t>
      </w:r>
      <w:r>
        <w:rPr>
          <w:rFonts w:hint="eastAsia" w:ascii="仿宋" w:hAnsi="仿宋" w:eastAsia="仿宋" w:cs="仿宋"/>
          <w:color w:val="auto"/>
          <w:highlight w:val="none"/>
        </w:rPr>
        <w:t>。</w:t>
      </w:r>
    </w:p>
    <w:p w14:paraId="493BF3F0">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14:paraId="1C0A0E97">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14:paraId="48DE6682">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14:paraId="170F772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1、乙方依约定应付的租金、租赁期内其他相关费用、履约保证金及其他与甲方往来的款项以转账或委托银行代扣的方式向甲方履行。</w:t>
      </w:r>
    </w:p>
    <w:p w14:paraId="475AB230">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2、乙方使用转账的方式支付租金、履约保证金及其他与甲方往来款项的账户如下：</w:t>
      </w:r>
    </w:p>
    <w:tbl>
      <w:tblPr>
        <w:tblStyle w:val="8"/>
        <w:tblW w:w="7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418"/>
      </w:tblGrid>
      <w:tr w14:paraId="17C1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8" w:type="dxa"/>
          </w:tcPr>
          <w:p w14:paraId="7D72BCEA">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5418" w:type="dxa"/>
          </w:tcPr>
          <w:p w14:paraId="35C66946">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14:paraId="53AE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8" w:type="dxa"/>
          </w:tcPr>
          <w:p w14:paraId="74F732AB">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5418" w:type="dxa"/>
          </w:tcPr>
          <w:p w14:paraId="4A5FAE4D">
            <w:pPr>
              <w:spacing w:line="240" w:lineRule="auto"/>
              <w:rPr>
                <w:rFonts w:hint="eastAsia" w:ascii="仿宋" w:hAnsi="仿宋" w:eastAsia="仿宋" w:cs="仿宋"/>
                <w:color w:val="auto"/>
                <w:highlight w:val="none"/>
              </w:rPr>
            </w:pPr>
          </w:p>
        </w:tc>
      </w:tr>
      <w:tr w14:paraId="7321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8" w:type="dxa"/>
          </w:tcPr>
          <w:p w14:paraId="6B7ADBCD">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帐 号</w:t>
            </w:r>
          </w:p>
        </w:tc>
        <w:tc>
          <w:tcPr>
            <w:tcW w:w="5418" w:type="dxa"/>
          </w:tcPr>
          <w:p w14:paraId="634F4547">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bl>
    <w:p w14:paraId="69473013">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14:paraId="6B0C2D87">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14:paraId="4D3B9212">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14:paraId="015FAA77">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14:paraId="4E1B3640">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w:t>
      </w:r>
      <w:r>
        <w:rPr>
          <w:rFonts w:hint="eastAsia" w:ascii="仿宋" w:hAnsi="仿宋" w:eastAsia="仿宋" w:cs="仿宋"/>
          <w:color w:val="auto"/>
          <w:highlight w:val="none"/>
        </w:rPr>
        <w:t>自然人/小规模纳税人/一般纳税人</w:t>
      </w:r>
      <w:r>
        <w:rPr>
          <w:rFonts w:hint="eastAsia" w:ascii="仿宋" w:hAnsi="仿宋" w:eastAsia="仿宋" w:cs="仿宋"/>
          <w:color w:val="auto"/>
          <w:highlight w:val="none"/>
        </w:rPr>
        <w:t>（选择性条款）</w:t>
      </w:r>
      <w:r>
        <w:rPr>
          <w:rFonts w:hint="eastAsia" w:ascii="仿宋" w:hAnsi="仿宋" w:eastAsia="仿宋" w:cs="仿宋"/>
          <w:color w:val="auto"/>
          <w:highlight w:val="none"/>
        </w:rPr>
        <w:t>，开票信息如下表：</w:t>
      </w:r>
    </w:p>
    <w:tbl>
      <w:tblPr>
        <w:tblStyle w:val="8"/>
        <w:tblW w:w="5166" w:type="pct"/>
        <w:tblInd w:w="0" w:type="dxa"/>
        <w:tblLayout w:type="autofit"/>
        <w:tblCellMar>
          <w:top w:w="0" w:type="dxa"/>
          <w:left w:w="108" w:type="dxa"/>
          <w:bottom w:w="0" w:type="dxa"/>
          <w:right w:w="108" w:type="dxa"/>
        </w:tblCellMar>
      </w:tblPr>
      <w:tblGrid>
        <w:gridCol w:w="1809"/>
        <w:gridCol w:w="6996"/>
      </w:tblGrid>
      <w:tr w14:paraId="3B985DFE">
        <w:tblPrEx>
          <w:tblCellMar>
            <w:top w:w="0" w:type="dxa"/>
            <w:left w:w="108" w:type="dxa"/>
            <w:bottom w:w="0" w:type="dxa"/>
            <w:right w:w="108" w:type="dxa"/>
          </w:tblCellMar>
        </w:tblPrEx>
        <w:trPr>
          <w:trHeight w:val="345" w:hRule="atLeast"/>
        </w:trPr>
        <w:tc>
          <w:tcPr>
            <w:tcW w:w="1027" w:type="pct"/>
            <w:tcBorders>
              <w:top w:val="single" w:color="auto" w:sz="4" w:space="0"/>
              <w:left w:val="single" w:color="auto" w:sz="4" w:space="0"/>
              <w:bottom w:val="single" w:color="auto" w:sz="4" w:space="0"/>
              <w:right w:val="single" w:color="auto" w:sz="4" w:space="0"/>
            </w:tcBorders>
            <w:noWrap/>
            <w:vAlign w:val="center"/>
          </w:tcPr>
          <w:p w14:paraId="04FD16BD">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公司名称</w:t>
            </w:r>
          </w:p>
        </w:tc>
        <w:tc>
          <w:tcPr>
            <w:tcW w:w="3973" w:type="pct"/>
            <w:tcBorders>
              <w:top w:val="single" w:color="auto" w:sz="4" w:space="0"/>
              <w:left w:val="nil"/>
              <w:bottom w:val="single" w:color="auto" w:sz="4" w:space="0"/>
              <w:right w:val="single" w:color="auto" w:sz="4" w:space="0"/>
            </w:tcBorders>
            <w:noWrap/>
            <w:vAlign w:val="center"/>
          </w:tcPr>
          <w:p w14:paraId="7C5DF54C">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3A393136">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14:paraId="5F5ABD00">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3973" w:type="pct"/>
            <w:tcBorders>
              <w:top w:val="nil"/>
              <w:left w:val="nil"/>
              <w:bottom w:val="single" w:color="auto" w:sz="4" w:space="0"/>
              <w:right w:val="single" w:color="auto" w:sz="4" w:space="0"/>
            </w:tcBorders>
            <w:noWrap/>
            <w:vAlign w:val="center"/>
          </w:tcPr>
          <w:p w14:paraId="3711A023">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2F4D9281">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vAlign w:val="center"/>
          </w:tcPr>
          <w:p w14:paraId="3F21BDEF">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3973" w:type="pct"/>
            <w:tcBorders>
              <w:top w:val="nil"/>
              <w:left w:val="nil"/>
              <w:bottom w:val="single" w:color="auto" w:sz="4" w:space="0"/>
              <w:right w:val="single" w:color="auto" w:sz="4" w:space="0"/>
            </w:tcBorders>
            <w:noWrap/>
            <w:vAlign w:val="center"/>
          </w:tcPr>
          <w:p w14:paraId="0C804116">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45315EFA">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14:paraId="4DFA2A77">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3973" w:type="pct"/>
            <w:tcBorders>
              <w:top w:val="nil"/>
              <w:left w:val="nil"/>
              <w:bottom w:val="single" w:color="auto" w:sz="4" w:space="0"/>
              <w:right w:val="single" w:color="auto" w:sz="4" w:space="0"/>
            </w:tcBorders>
            <w:vAlign w:val="center"/>
          </w:tcPr>
          <w:p w14:paraId="113BFBA3">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5218FB6C">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14:paraId="12157098">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3973" w:type="pct"/>
            <w:tcBorders>
              <w:top w:val="nil"/>
              <w:left w:val="nil"/>
              <w:bottom w:val="single" w:color="auto" w:sz="4" w:space="0"/>
              <w:right w:val="single" w:color="auto" w:sz="4" w:space="0"/>
            </w:tcBorders>
            <w:vAlign w:val="center"/>
          </w:tcPr>
          <w:p w14:paraId="5B8D2D8A">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14:paraId="2372347B">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乙方由小规模纳税人变更为一般纳税人或开票信息有变，应及时书面通知甲方，若因乙方的原因导致通知延误，甲方不承担责任。</w:t>
      </w:r>
    </w:p>
    <w:p w14:paraId="6F5408C7">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开具增值税专用发票的，由乙方直接转账支付给甲方，不得委托第三方代付款，否则甲方有权不予开具增值税专用发票。</w:t>
      </w:r>
    </w:p>
    <w:p w14:paraId="05E1C00B">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14:paraId="40912250">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  </w:t>
      </w:r>
    </w:p>
    <w:p w14:paraId="1ADE395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2、房屋交付时乙方凭甲方发出的交房通知与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大厦物业服务处办理交接手续，对租赁房屋状况、配置的设备设施、水电表读数等进行确认。交接当日乙方未提交书面异议视为全部确认。</w:t>
      </w:r>
    </w:p>
    <w:p w14:paraId="5A4BB0FA">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14:paraId="24D13AE4">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1、租赁房屋的外立面装修由甲方负责，乙方不得自行改变租赁房屋的整体外立面现状，不得在外墙墙面安装空调主机等影响建筑外观的设备。乙方不得擅自变动租赁房屋建筑主体和承重结构，若乙方在租赁期间进行必要的室内装修改造，须自行承担装修改造的全部费用及施工安全责任，并对其自行装修改造部分承担全部维护责任。乙方应于施工</w:t>
      </w:r>
      <w:r>
        <w:rPr>
          <w:rFonts w:hint="eastAsia" w:ascii="仿宋" w:hAnsi="仿宋" w:eastAsia="仿宋" w:cs="仿宋"/>
          <w:color w:val="auto"/>
          <w:highlight w:val="none"/>
        </w:rPr>
        <w:t>前将装修施工图（含装修设计图、用料说明、门厅及LOGO图、空调系统平面图、消防系统图、室内电气配线系统平面图、天花板平面设计图、各立面图等）</w:t>
      </w:r>
      <w:r>
        <w:rPr>
          <w:rFonts w:hint="eastAsia" w:ascii="仿宋" w:hAnsi="仿宋" w:eastAsia="仿宋" w:cs="仿宋"/>
          <w:color w:val="auto"/>
          <w:highlight w:val="none"/>
        </w:rPr>
        <w:t>提交甲方书面审批同意。乙方装修方案应保证租赁房屋结构安全且符合有关消防、环保、抗震等规定，并须按有关法律法规、政策规定自行办理相关审批手续，经批准后方能施工；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14:paraId="09CD0F07">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2、乙方应委托具有资质的装饰装修单位和消防施工单位对租赁房屋进行施工。乙方装饰装修过程中涉及电焊、气焊、电工等特殊工种作业的，应由持有相关上岗资格证书的人员进行作业。</w:t>
      </w:r>
    </w:p>
    <w:p w14:paraId="1AC63CFD">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14:paraId="421E674A">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任何一方人身损害或财产损失的，由乙方承担一切责任；若因此连带给甲方造成损失的，乙方应予以赔偿。为避免上述情况发生，乙方可购买保险，保险费用由乙方承担。</w:t>
      </w:r>
    </w:p>
    <w:p w14:paraId="236D5043">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5、租赁期间，公共设备设施的维护及维修由甲方负责，并承担相应责任。乙方应当爱护并合理使用租赁房屋及其附属设备设施，不得擅自拆改、扩建、增添等。乙方应定期检查房屋，发现问题应立即通知甲方或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14:paraId="33ACCDAB">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14:paraId="075ADCDC">
      <w:pPr>
        <w:spacing w:line="240" w:lineRule="auto"/>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14:paraId="43D79F31">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14:paraId="4202E847">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14:paraId="0495BE98">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10、未经甲方同意，乙方</w:t>
      </w:r>
      <w:r>
        <w:rPr>
          <w:rFonts w:hint="eastAsia" w:ascii="仿宋" w:hAnsi="仿宋" w:eastAsia="仿宋" w:cs="仿宋"/>
          <w:color w:val="auto"/>
          <w:kern w:val="0"/>
          <w:highlight w:val="none"/>
        </w:rPr>
        <w:t>不得利用与甲方（含甲方关联企业）或租赁房屋所在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大厦的全部或部分名称（含中文或外文全称或简称）、标识相同或相似的内容制作广告、标牌、符号、徽标或用作其它商业用途，唯作通讯地址用途除外。</w:t>
      </w:r>
      <w:r>
        <w:rPr>
          <w:rFonts w:hint="eastAsia" w:ascii="仿宋" w:hAnsi="仿宋" w:eastAsia="仿宋" w:cs="仿宋"/>
          <w:color w:val="auto"/>
          <w:highlight w:val="none"/>
        </w:rPr>
        <w:t>且乙方不得在租赁房屋外墙墙面设立户外广告。</w:t>
      </w:r>
    </w:p>
    <w:p w14:paraId="7FBD75AD">
      <w:pPr>
        <w:spacing w:line="240" w:lineRule="auto"/>
        <w:ind w:firstLine="542" w:firstLineChars="225"/>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14:paraId="22587159">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1、租赁期满不再继续承租的，乙方应在合同到期日前，按照保证房屋结构安全及附属设备设施能正常使用的要求清退、恢复房屋至</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大厦办公层房屋标准配置</w:t>
      </w:r>
      <w:r>
        <w:rPr>
          <w:rFonts w:hint="eastAsia" w:ascii="仿宋" w:hAnsi="仿宋" w:eastAsia="仿宋" w:cs="仿宋"/>
          <w:color w:val="auto"/>
          <w:highlight w:val="none"/>
        </w:rPr>
        <w:t>状态并向甲方返还租赁房屋（含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kern w:val="0"/>
          <w:highlight w:val="none"/>
        </w:rPr>
        <w:t>办公层房屋</w:t>
      </w:r>
      <w:r>
        <w:rPr>
          <w:rFonts w:hint="eastAsia" w:ascii="仿宋" w:hAnsi="仿宋" w:eastAsia="仿宋" w:cs="仿宋"/>
          <w:color w:val="auto"/>
          <w:highlight w:val="none"/>
        </w:rPr>
        <w:t>设备标准配置的附属设备设施及物品）及交房时签署的《房屋验收交接单》所列租赁物，搬走属于乙方的物品，</w:t>
      </w:r>
      <w:r>
        <w:rPr>
          <w:rFonts w:hint="eastAsia" w:ascii="仿宋" w:hAnsi="仿宋" w:eastAsia="仿宋" w:cs="仿宋"/>
          <w:color w:val="auto"/>
          <w:highlight w:val="none"/>
          <w:lang w:bidi="ar"/>
        </w:rPr>
        <w:t>并与甲方及物业服务处签署退房的《房屋验收交接单》，方可视为乙方退房完毕</w:t>
      </w:r>
      <w:r>
        <w:rPr>
          <w:rFonts w:hint="eastAsia" w:ascii="仿宋" w:hAnsi="仿宋" w:eastAsia="仿宋" w:cs="仿宋"/>
          <w:color w:val="auto"/>
          <w:highlight w:val="none"/>
        </w:rPr>
        <w:t>。同时，乙方应在合同到期日前向有关部门办理完毕登记在租赁房屋项下的工商、税务等住所登记或经营场所备案等迁移或撤销手续。</w:t>
      </w:r>
    </w:p>
    <w:p w14:paraId="360134C8">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2、提前解除、终止合同的，乙方应自合同解除、终止之日起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日内，按照本合同第九条第一款要求完成全部退房手续，及向有关部门办理完毕登记在租赁房屋项下的工商、税务等住所登记或经营场所备案等迁移或撤销手续。 </w:t>
      </w:r>
    </w:p>
    <w:p w14:paraId="6752A123">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3、乙方改造、装修租赁房屋形成的装饰装修物，以及对租赁房屋原有附属设备设施进行改造、增扩、添附等，在本合同期满或提前解除、终止后按以下情形处理：</w:t>
      </w:r>
    </w:p>
    <w:p w14:paraId="67FCBCAA">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除本合同另有约定外，本合同期满或提前解除、终止后，乙方不得拆除空调及消防设施或拆除后可能会影响房屋结构安全的附属设备设施，且乙方不得要求任何补偿或主张任何其他费用，如造成甲方损失，乙方应承担相应责任。可拆除的原有附属设备设施可由乙方自行搬走、处理，费用由乙方自理，处理款项亦归乙方。甲方同意乙方拆除装饰装修物、改扩、增添的附属设备设施的，乙方应在合同到期日前或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日内自行拆除、搬走，费用由乙方自理，且乙方负责恢复至</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w:t>
      </w:r>
      <w:r>
        <w:rPr>
          <w:rFonts w:hint="eastAsia" w:ascii="仿宋" w:hAnsi="仿宋" w:eastAsia="仿宋" w:cs="仿宋"/>
          <w:color w:val="auto"/>
          <w:highlight w:val="none"/>
        </w:rPr>
        <w:t>房屋标准配置状态，并保证房屋结构安全和附属设备设施能正常使用。</w:t>
      </w:r>
    </w:p>
    <w:p w14:paraId="65DEB6B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因甲方违约导致提前解除合同的，若乙方同意不拆除装饰装修物、改扩、增添的附属设备设施，甲方可参照厦门市国资委认可的第三方评估机构的评估报告给予乙方适当补偿，该改扩、增添的附属设备设施归甲方所有。</w:t>
      </w:r>
    </w:p>
    <w:p w14:paraId="2C15BA4B">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14:paraId="5898A137">
      <w:pPr>
        <w:tabs>
          <w:tab w:val="left" w:pos="1620"/>
        </w:tabs>
        <w:spacing w:line="240" w:lineRule="auto"/>
        <w:ind w:firstLine="48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14:paraId="726DB03E">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14:paraId="750F1EA0">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14:paraId="6016D3BD">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14:paraId="66C5DDFD">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（2）本合同第十二条约定的不可抗力情形；</w:t>
      </w:r>
    </w:p>
    <w:p w14:paraId="4FE21511">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14:paraId="2F4F0511">
      <w:pPr>
        <w:spacing w:line="240" w:lineRule="auto"/>
        <w:ind w:left="410" w:leftChars="171" w:firstLine="120" w:firstLineChars="5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2、甲方有以下行为之一的，乙方有权提前解除合同：</w:t>
      </w:r>
    </w:p>
    <w:p w14:paraId="0582397E">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14:paraId="6FE441DB">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（2）依法律规定，其他构成根本违约的情形。</w:t>
      </w:r>
    </w:p>
    <w:p w14:paraId="22BF5969">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14:paraId="21D5C58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14:paraId="210757E2">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14:paraId="31C34767">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14:paraId="2B970D24">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14:paraId="5CDFE5E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（5）拖欠租金、物业管理费、房屋公共维修金、水电费及其它费用超过30日的；</w:t>
      </w:r>
    </w:p>
    <w:p w14:paraId="1484E316">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（6）影响租赁场所或其他租户正常营业，侵害商户的权益，或发生其他严重违反大厦管理制度行为且未在甲方或物业管理公司通知整改限期内予以纠正；</w:t>
      </w:r>
    </w:p>
    <w:p w14:paraId="49086DA0">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（7）在本合同规定的租赁期限内，乙方发生破产、歇业、被解散、被清算；因严重违法违纪被司法、行政机关处罚且未在规定的整改期限内整改完成的或租赁场所被司法机关查封的；</w:t>
      </w:r>
    </w:p>
    <w:p w14:paraId="63627A8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（8）依法律规定或合同约定，其他构成根本违约的情形。</w:t>
      </w:r>
    </w:p>
    <w:p w14:paraId="540359FE">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间，如租赁房屋发生安全事故的，经有关部门鉴定确认事故发生在乙方负责维修维护、管理的部位和范围，则甲方有权解除本合同，收回房屋；同时乙方须承担相应的责任，并负责将房屋修复至交房时的状态或赔偿房屋修复的费用。</w:t>
      </w:r>
    </w:p>
    <w:p w14:paraId="1FA05405">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14:paraId="64C40920">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1、租赁期内，乙方逾期交纳租金及各项费用，</w:t>
      </w:r>
      <w:bookmarkStart w:id="0" w:name="_Hlk57279083"/>
      <w:r>
        <w:rPr>
          <w:rFonts w:hint="eastAsia" w:ascii="仿宋" w:hAnsi="仿宋" w:eastAsia="仿宋" w:cs="仿宋"/>
          <w:color w:val="auto"/>
          <w:highlight w:val="none"/>
          <w:lang w:bidi="ar"/>
        </w:rPr>
        <w:t>自逾期缴纳该费用的次月第一日起，每逾期一日，须按未交纳租金及各项费用的万分之五向甲方支付违约金。</w:t>
      </w:r>
      <w:bookmarkEnd w:id="0"/>
    </w:p>
    <w:p w14:paraId="4F9EEB23">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违反本合同第十条第3款约定的，甲方有权单方面解除租赁合同，已经收取的履约保证金、租金、物业管理费、房屋公共维修金、水电费等费用不予退还。同时，乙方还应向甲方支付相当于解除合同当期一个月月租金的违约金。</w:t>
      </w:r>
    </w:p>
    <w:p w14:paraId="1EAF87BE">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3、租赁期内，一方以非本合同项下第十条约定的理由提前解除合同的，应提前一个月书面通知对方，并向守约方支付相当于解除合同当期一个月月租金的违约金。</w:t>
      </w:r>
    </w:p>
    <w:p w14:paraId="4EF73853">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期满或提前解除、终止后，乙方应按本合同约定返还租赁房屋及办理完毕租赁房屋项下的工商、税务等住所登记或经营场所备案等迁移或撤销手续。乙方逾期返还租赁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14:paraId="7D3899B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若乙方逾期支付各项费用超过30日或在本合同已解除、终止时未予退房的，乙方除按本条第1～4款承担违约责任外，并自愿接受甲方或甲方选定或委托的物业公司采取包括对乙方停水、停电等一切合法有效措施催促其履行付款义务，所造成的一切损失由乙方承担。</w:t>
      </w:r>
    </w:p>
    <w:p w14:paraId="7F6F2D2B">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6、乙方在此同意，倘若在任何时间内租赁房屋的水、电停止供应或大厦的任何公共设施停止运作，甲方不必对乙方或任何其它第三方负责。如因不可抗力原因导致租赁房屋损坏或致使乙方遭受损失的，双方互不承担责任。</w:t>
      </w:r>
    </w:p>
    <w:p w14:paraId="6724C354">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 xml:space="preserve">7、大厦或租赁房屋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主观故意直接引起，甲方无需对乙方或任何其它第三方承担责任，乙方应直接与造成损害的直接责任方交涉。                                                                  </w:t>
      </w:r>
    </w:p>
    <w:p w14:paraId="08665F56">
      <w:pPr>
        <w:widowControl/>
        <w:autoSpaceDE w:val="0"/>
        <w:autoSpaceDN w:val="0"/>
        <w:spacing w:before="0" w:after="0" w:line="360" w:lineRule="atLeast"/>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8、甲方向大厦或租赁房屋提供的安保、管理人员、任何性质的机械、电子防盗系统，将不构成甲方有义务负责租赁房屋或其内财物的保安、保管。乙方在任何时间都应自行对租赁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14:paraId="5A641658">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bidi="ar"/>
        </w:rPr>
        <w:t>9</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auto"/>
          <w:highlight w:val="none"/>
        </w:rPr>
        <w:t>（选择性条款）</w:t>
      </w:r>
    </w:p>
    <w:p w14:paraId="4CBA1F56">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14:paraId="1B50F944">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14:paraId="0C776313">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14:paraId="5B207A4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14:paraId="08012190">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14:paraId="2E714444">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14:paraId="4A54ABF6">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14:paraId="2D55CC3E">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鉴于大厦系高层建筑写字楼，且外墙为幕墙玻璃，为保障大厦建筑安全及防止出现意外伤害事故，乙方应严格遵守物业管理公司对幕墙玻璃窗户的管理制度，随时保持幕墙玻璃窗户处于关闭且锁紧状态，并不得擅自拆改玻璃幕墙。若发现不安全隐患或幕墙玻璃窗损坏，应及时通知甲方及物业管理公司。若乙方违反本规定造成人身损害、财产损失的，由乙方承担赔偿责任。</w:t>
      </w:r>
    </w:p>
    <w:p w14:paraId="4F893220">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2、车位租用协议双方另行签订。</w:t>
      </w:r>
    </w:p>
    <w:p w14:paraId="5D54DA07">
      <w:pPr>
        <w:tabs>
          <w:tab w:val="left" w:pos="1620"/>
        </w:tabs>
        <w:spacing w:line="240"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3、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14:paraId="1B3D27AC">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4、</w:t>
      </w:r>
      <w:r>
        <w:rPr>
          <w:rFonts w:hint="eastAsia" w:ascii="仿宋" w:hAnsi="仿宋" w:eastAsia="仿宋" w:cs="仿宋"/>
          <w:b/>
          <w:color w:val="auto"/>
          <w:highlight w:val="none"/>
        </w:rPr>
        <w:t>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14:paraId="14279EE5">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14:paraId="4F076D84">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发生仲裁、诉讼，任何一方向该地址送达即视为有效送达（即使退件也不例外）。若其中一方地址或联系方式（含电话、联系人及传真</w:t>
      </w:r>
      <w:r>
        <w:rPr>
          <w:rFonts w:hint="eastAsia" w:ascii="仿宋" w:hAnsi="仿宋" w:eastAsia="仿宋" w:cs="仿宋"/>
          <w:color w:val="auto"/>
          <w:highlight w:val="none"/>
          <w:lang w:bidi="ar"/>
        </w:rPr>
        <w:t>、电子邮箱</w:t>
      </w:r>
      <w:r>
        <w:rPr>
          <w:rFonts w:hint="eastAsia" w:ascii="仿宋" w:hAnsi="仿宋" w:eastAsia="仿宋" w:cs="仿宋"/>
          <w:color w:val="auto"/>
          <w:highlight w:val="none"/>
        </w:rPr>
        <w:t>）发生变化，应立即书面通知另一方，双方重新确认，否则对方向原地址送达或以原方式送达即视为有效送达（即使退件也不例外）。送达时间以制作文书方按照前述约定地址寄出之日起算三个工作日即视为送达。</w:t>
      </w:r>
    </w:p>
    <w:p w14:paraId="6B012EE0">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6、本合同项下日租金计算方式为：解除合同当期一个月月租金/30日。</w:t>
      </w:r>
    </w:p>
    <w:p w14:paraId="277043FC">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color w:val="auto"/>
          <w:highlight w:val="none"/>
        </w:rPr>
        <w:t>合同解除之日起</w:t>
      </w:r>
      <w:r>
        <w:rPr>
          <w:rFonts w:hint="eastAsia" w:ascii="仿宋" w:hAnsi="仿宋" w:eastAsia="仿宋" w:cs="仿宋"/>
          <w:color w:val="auto"/>
          <w:highlight w:val="none"/>
        </w:rPr>
        <w:t>7日内以书面形式向提出解除合同的一方提出。</w:t>
      </w:r>
    </w:p>
    <w:p w14:paraId="18ECD0B9">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8、合同终止：本合同项下的合同终止日期，以双方协议文本上约定的终止具体日期为准，未载明具体日期的，签订终止协议之日即为终止日。</w:t>
      </w:r>
    </w:p>
    <w:p w14:paraId="50100932">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9、若乙方违约或造成甲方损失的，乙方应全额（包括但不限于甲方追讨过程中产生的诉讼费、保全费、财产保全担保费、公告费、律师费、执行费、清场费等实际发生费用）赔偿，并承担违约责任。</w:t>
      </w:r>
    </w:p>
    <w:p w14:paraId="123DA1A7">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10、本合同签订时，乙方应同时签订《安全生产管理协议》，作为本合同的组成部分，具有同等的法律效力。</w:t>
      </w:r>
    </w:p>
    <w:p w14:paraId="616F3904">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11、本合同未尽事宜，经甲乙双方协商一致，可另行签订补充协议。</w:t>
      </w:r>
    </w:p>
    <w:p w14:paraId="02EB34E2">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14:paraId="14588132">
      <w:pPr>
        <w:spacing w:after="120"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1、本合同自甲乙双方签订后并且乙方按合同约定付清履约保证金之日起生效，乙方若未按约缴交履约保证金，则本合同不生效。</w:t>
      </w:r>
    </w:p>
    <w:p w14:paraId="22610C65">
      <w:pPr>
        <w:spacing w:after="120"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14:paraId="00255623">
      <w:pPr>
        <w:spacing w:after="120" w:line="24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附件：</w:t>
      </w:r>
      <w:r>
        <w:rPr>
          <w:rFonts w:hint="eastAsia" w:ascii="仿宋" w:hAnsi="仿宋" w:eastAsia="仿宋" w:cs="仿宋"/>
          <w:color w:val="auto"/>
          <w:highlight w:val="none"/>
        </w:rPr>
        <w:t>1、房屋所有权人的授权文件；</w:t>
      </w:r>
    </w:p>
    <w:p w14:paraId="33662F38">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highlight w:val="none"/>
        </w:rPr>
        <w:t>租赁房屋的具体位置：</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单元（电梯编号楼层第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层）平面图；</w:t>
      </w:r>
    </w:p>
    <w:p w14:paraId="722E3B27">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kern w:val="0"/>
          <w:highlight w:val="none"/>
        </w:rPr>
        <w:t>租赁房屋配置情况：《</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大厦办公层房屋标准配置》和《</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大厦办公层房屋设备标准配置</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层即电梯编号楼层第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层）; </w:t>
      </w:r>
    </w:p>
    <w:p w14:paraId="72A03E27">
      <w:pPr>
        <w:spacing w:after="120" w:line="240" w:lineRule="auto"/>
        <w:ind w:firstLine="1200" w:firstLineChars="5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大厦原大楼设计空调平面图及空调冷媒管平面图；</w:t>
      </w:r>
    </w:p>
    <w:p w14:paraId="087D4918">
      <w:pPr>
        <w:spacing w:after="120" w:line="240" w:lineRule="auto"/>
        <w:ind w:firstLine="1200" w:firstLineChars="5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大厦原大楼消防设计平面图；</w:t>
      </w:r>
    </w:p>
    <w:p w14:paraId="4969D8FD">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6、乙方营业执照或身份证、授权委托书、代理人身份证明等资料。</w:t>
      </w:r>
    </w:p>
    <w:p w14:paraId="7CB62F62">
      <w:pPr>
        <w:spacing w:line="240" w:lineRule="auto"/>
        <w:ind w:right="480"/>
        <w:rPr>
          <w:rFonts w:hint="eastAsia" w:ascii="仿宋" w:hAnsi="仿宋" w:eastAsia="仿宋" w:cs="仿宋"/>
          <w:color w:val="auto"/>
          <w:highlight w:val="none"/>
        </w:rPr>
      </w:pPr>
      <w:r>
        <w:rPr>
          <w:rFonts w:hint="eastAsia" w:ascii="仿宋" w:hAnsi="仿宋" w:eastAsia="仿宋" w:cs="仿宋"/>
          <w:color w:val="auto"/>
          <w:highlight w:val="none"/>
        </w:rPr>
        <w:t>（以下无正文）</w:t>
      </w:r>
    </w:p>
    <w:p w14:paraId="7444BBC2">
      <w:pPr>
        <w:spacing w:line="240" w:lineRule="auto"/>
        <w:rPr>
          <w:rFonts w:hint="eastAsia" w:ascii="仿宋" w:hAnsi="仿宋" w:eastAsia="仿宋" w:cs="仿宋"/>
          <w:color w:val="auto"/>
          <w:highlight w:val="none"/>
        </w:rPr>
      </w:pPr>
    </w:p>
    <w:p w14:paraId="0BE3F6BE">
      <w:pPr>
        <w:spacing w:line="240" w:lineRule="auto"/>
        <w:rPr>
          <w:rFonts w:hint="eastAsia" w:ascii="仿宋" w:hAnsi="仿宋" w:eastAsia="仿宋" w:cs="仿宋"/>
          <w:color w:val="auto"/>
          <w:highlight w:val="none"/>
        </w:rPr>
      </w:pPr>
    </w:p>
    <w:p w14:paraId="437D94D7">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14:paraId="43C3D053">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4A1BE049">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或授权代表：                            或授权代表：</w:t>
      </w:r>
    </w:p>
    <w:p w14:paraId="2A782C15">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F3FFA1E">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14:paraId="346B3E98">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签订日期：      年    月    日</w:t>
      </w:r>
    </w:p>
    <w:p w14:paraId="258C5B18">
      <w:pPr>
        <w:ind w:firstLine="2040" w:firstLineChars="850"/>
        <w:rPr>
          <w:rFonts w:ascii="仿宋_GB2312"/>
          <w:color w:val="auto"/>
          <w:highlight w:val="none"/>
        </w:rPr>
      </w:pPr>
    </w:p>
    <w:p w14:paraId="148F5F2B">
      <w:pPr>
        <w:rPr>
          <w:color w:val="auto"/>
          <w:highlight w:val="none"/>
        </w:rPr>
      </w:pPr>
    </w:p>
    <w:bookmarkEnd w:id="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A51D3">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14:paraId="5E01B23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C987">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3E43F6"/>
    <w:rsid w:val="316B34E5"/>
    <w:rsid w:val="345E04E1"/>
    <w:rsid w:val="3C3A1E90"/>
    <w:rsid w:val="43BD0C0D"/>
    <w:rsid w:val="45E2327B"/>
    <w:rsid w:val="46810DD2"/>
    <w:rsid w:val="49F66C27"/>
    <w:rsid w:val="52A6391E"/>
    <w:rsid w:val="54202BF5"/>
    <w:rsid w:val="61241984"/>
    <w:rsid w:val="64E04862"/>
    <w:rsid w:val="668D761B"/>
    <w:rsid w:val="6D1E1E6D"/>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qFormat/>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9440</Words>
  <Characters>9456</Characters>
  <Lines>76</Lines>
  <Paragraphs>21</Paragraphs>
  <TotalTime>1</TotalTime>
  <ScaleCrop>false</ScaleCrop>
  <LinksUpToDate>false</LinksUpToDate>
  <CharactersWithSpaces>10624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2022-09-26T06:38:00Z</dcterms:created>
  <dc:creator>李艺</dc:creator>
  <cp:lastModifiedBy>肖唯</cp:lastModifiedBy>
  <cp:lastPrinted>2017-11-29T17:44:00Z</cp:lastPrinted>
  <dcterms:modified xsi:type="dcterms:W3CDTF">2025-09-16T06:48:45Z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eyJoZGlkIjoiMThhMjA5NDIwZDg2YmQzNmQ0NWVhNTBhZjA3NmQ0MjgiLCJ1c2VySWQiOiI5NDUyNTAxMzIifQ==</vt:lpwstr>
  </property>
  <property fmtid="{D5CDD505-2E9C-101B-9397-08002B2CF9AE}" pid="4" name="ICV">
    <vt:lpwstr>BC7E87273195467CA942E134C6E795FB_12</vt:lpwstr>
  </property>
</Properties>
</file>