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CEA53E6">
      <w:pPr>
        <w:spacing w:before="90" w:after="60" w:line="400" w:lineRule="exact"/>
        <w:jc w:val="center"/>
        <w:rPr>
          <w:rFonts w:ascii="宋体" w:hAnsi="宋体" w:eastAsia="仿宋_GB2312" w:cs="Calibri"/>
          <w:b/>
          <w:color w:val="auto"/>
          <w:sz w:val="32"/>
          <w:szCs w:val="24"/>
          <w:highlight w:val="none"/>
        </w:rPr>
      </w:pPr>
      <w:bookmarkStart w:id="0" w:name="_GoBack"/>
      <w:r>
        <w:rPr>
          <w:rFonts w:hint="eastAsia" w:ascii="仿宋_GB2312" w:hAnsi="仿宋_GB2312" w:eastAsia="仿宋_GB2312" w:cs="仿宋_GB2312"/>
          <w:b/>
          <w:color w:val="auto"/>
          <w:sz w:val="32"/>
          <w:szCs w:val="24"/>
          <w:highlight w:val="none"/>
        </w:rPr>
        <w:t>厂房租赁合同（范本）</w:t>
      </w:r>
    </w:p>
    <w:p w14:paraId="4C39ACDA">
      <w:pPr>
        <w:spacing w:before="90" w:after="60"/>
        <w:jc w:val="center"/>
        <w:rPr>
          <w:rFonts w:ascii="仿宋_GB2312" w:hAnsi="宋体" w:eastAsia="仿宋_GB2312" w:cs="仿宋_GB2312"/>
          <w:color w:val="auto"/>
          <w:sz w:val="24"/>
          <w:szCs w:val="24"/>
          <w:highlight w:val="none"/>
        </w:rPr>
      </w:pPr>
      <w:r>
        <w:rPr>
          <w:rFonts w:ascii="仿宋_GB2312" w:hAnsi="宋体" w:eastAsia="仿宋_GB2312" w:cs="仿宋_GB2312"/>
          <w:color w:val="auto"/>
          <w:sz w:val="24"/>
          <w:szCs w:val="24"/>
          <w:highlight w:val="none"/>
        </w:rPr>
        <w:t xml:space="preserve">                 </w:t>
      </w:r>
    </w:p>
    <w:p w14:paraId="44FE2810">
      <w:pPr>
        <w:spacing w:before="90" w:after="60"/>
        <w:jc w:val="center"/>
        <w:rPr>
          <w:rFonts w:ascii="仿宋_GB2312" w:hAnsi="宋体" w:eastAsia="仿宋_GB2312" w:cs="仿宋_GB2312"/>
          <w:color w:val="auto"/>
          <w:sz w:val="24"/>
          <w:szCs w:val="24"/>
          <w:highlight w:val="none"/>
          <w:u w:val="single"/>
        </w:rPr>
      </w:pPr>
      <w:r>
        <w:rPr>
          <w:rFonts w:hint="eastAsia" w:ascii="仿宋_GB2312" w:hAnsi="宋体" w:eastAsia="仿宋_GB2312" w:cs="仿宋_GB2312"/>
          <w:color w:val="auto"/>
          <w:sz w:val="24"/>
          <w:szCs w:val="24"/>
          <w:highlight w:val="none"/>
        </w:rPr>
        <w:t xml:space="preserve">                 合同编号：</w:t>
      </w:r>
      <w:r>
        <w:rPr>
          <w:rFonts w:ascii="仿宋_GB2312" w:hAnsi="宋体" w:eastAsia="仿宋_GB2312" w:cs="仿宋_GB2312"/>
          <w:color w:val="auto"/>
          <w:sz w:val="24"/>
          <w:szCs w:val="24"/>
          <w:highlight w:val="none"/>
          <w:u w:val="single"/>
        </w:rPr>
        <w:t xml:space="preserve">     </w:t>
      </w:r>
      <w:r>
        <w:rPr>
          <w:rFonts w:hint="eastAsia" w:ascii="仿宋_GB2312" w:hAnsi="宋体" w:eastAsia="仿宋_GB2312" w:cs="仿宋_GB2312"/>
          <w:color w:val="auto"/>
          <w:sz w:val="24"/>
          <w:szCs w:val="24"/>
          <w:highlight w:val="none"/>
          <w:u w:val="single"/>
        </w:rPr>
        <w:t xml:space="preserve"> </w:t>
      </w:r>
      <w:r>
        <w:rPr>
          <w:rFonts w:ascii="仿宋_GB2312" w:hAnsi="宋体" w:eastAsia="仿宋_GB2312" w:cs="仿宋_GB2312"/>
          <w:color w:val="auto"/>
          <w:sz w:val="24"/>
          <w:szCs w:val="24"/>
          <w:highlight w:val="none"/>
          <w:u w:val="single"/>
        </w:rPr>
        <w:t xml:space="preserve">             </w:t>
      </w:r>
      <w:r>
        <w:rPr>
          <w:rFonts w:hint="eastAsia" w:ascii="仿宋_GB2312" w:hAnsi="宋体" w:eastAsia="仿宋_GB2312" w:cs="仿宋_GB2312"/>
          <w:color w:val="auto"/>
          <w:sz w:val="24"/>
          <w:szCs w:val="24"/>
          <w:highlight w:val="none"/>
          <w:u w:val="single"/>
        </w:rPr>
        <w:t xml:space="preserve">  </w:t>
      </w:r>
    </w:p>
    <w:p w14:paraId="6CCDCAFD">
      <w:pPr>
        <w:spacing w:before="90" w:after="60"/>
        <w:jc w:val="center"/>
        <w:rPr>
          <w:rFonts w:ascii="仿宋_GB2312" w:hAnsi="宋体" w:eastAsia="仿宋_GB2312"/>
          <w:color w:val="auto"/>
          <w:sz w:val="24"/>
          <w:szCs w:val="24"/>
          <w:highlight w:val="none"/>
        </w:rPr>
      </w:pPr>
    </w:p>
    <w:p w14:paraId="3D2871CD">
      <w:pPr>
        <w:spacing w:before="90" w:line="276" w:lineRule="auto"/>
        <w:rPr>
          <w:rFonts w:ascii="仿宋_GB2312" w:hAnsi="宋体" w:eastAsia="仿宋_GB2312" w:cs="仿宋_GB2312"/>
          <w:color w:val="auto"/>
          <w:sz w:val="24"/>
          <w:szCs w:val="24"/>
          <w:highlight w:val="none"/>
          <w:u w:val="single"/>
        </w:rPr>
      </w:pPr>
      <w:r>
        <w:rPr>
          <w:rFonts w:hint="eastAsia" w:ascii="仿宋_GB2312" w:hAnsi="宋体" w:eastAsia="仿宋_GB2312" w:cs="仿宋_GB2312"/>
          <w:color w:val="auto"/>
          <w:sz w:val="24"/>
          <w:szCs w:val="24"/>
          <w:highlight w:val="none"/>
        </w:rPr>
        <w:t>出租方（以下简称甲方）：</w:t>
      </w:r>
      <w:r>
        <w:rPr>
          <w:rFonts w:hint="eastAsia" w:ascii="仿宋_GB2312" w:hAnsi="宋体" w:eastAsia="仿宋_GB2312" w:cs="仿宋_GB2312"/>
          <w:color w:val="auto"/>
          <w:sz w:val="24"/>
          <w:szCs w:val="24"/>
          <w:highlight w:val="none"/>
          <w:u w:val="single"/>
        </w:rPr>
        <w:t xml:space="preserve">                        </w:t>
      </w:r>
      <w:r>
        <w:rPr>
          <w:rFonts w:ascii="仿宋_GB2312" w:hAnsi="宋体" w:eastAsia="仿宋_GB2312" w:cs="仿宋_GB2312"/>
          <w:color w:val="auto"/>
          <w:sz w:val="24"/>
          <w:szCs w:val="24"/>
          <w:highlight w:val="none"/>
          <w:u w:val="single"/>
        </w:rPr>
        <w:t xml:space="preserve">                      </w:t>
      </w:r>
    </w:p>
    <w:p w14:paraId="49D4298C">
      <w:pPr>
        <w:spacing w:before="90" w:line="276" w:lineRule="auto"/>
        <w:rPr>
          <w:rFonts w:ascii="仿宋_GB2312" w:hAnsi="宋体" w:eastAsia="仿宋_GB2312" w:cs="仿宋_GB2312"/>
          <w:color w:val="auto"/>
          <w:sz w:val="24"/>
          <w:szCs w:val="24"/>
          <w:highlight w:val="none"/>
          <w:u w:val="single"/>
        </w:rPr>
      </w:pPr>
      <w:r>
        <w:rPr>
          <w:rFonts w:hint="eastAsia" w:ascii="仿宋_GB2312" w:hAnsi="宋体" w:eastAsia="仿宋_GB2312" w:cs="仿宋_GB2312"/>
          <w:color w:val="auto"/>
          <w:sz w:val="24"/>
          <w:szCs w:val="24"/>
          <w:highlight w:val="none"/>
        </w:rPr>
        <w:t>通讯地址：</w:t>
      </w:r>
      <w:r>
        <w:rPr>
          <w:rFonts w:hint="eastAsia" w:ascii="仿宋_GB2312" w:hAnsi="宋体" w:eastAsia="仿宋_GB2312" w:cs="仿宋_GB2312"/>
          <w:color w:val="auto"/>
          <w:sz w:val="24"/>
          <w:szCs w:val="24"/>
          <w:highlight w:val="none"/>
          <w:u w:val="single"/>
        </w:rPr>
        <w:t xml:space="preserve">                                             </w:t>
      </w:r>
      <w:r>
        <w:rPr>
          <w:rFonts w:ascii="仿宋_GB2312" w:hAnsi="宋体" w:eastAsia="仿宋_GB2312" w:cs="仿宋_GB2312"/>
          <w:color w:val="auto"/>
          <w:sz w:val="24"/>
          <w:szCs w:val="24"/>
          <w:highlight w:val="none"/>
          <w:u w:val="single"/>
        </w:rPr>
        <w:t xml:space="preserve">               </w:t>
      </w:r>
    </w:p>
    <w:p w14:paraId="57793578">
      <w:pPr>
        <w:spacing w:before="90" w:line="276" w:lineRule="auto"/>
        <w:rPr>
          <w:rFonts w:ascii="仿宋_GB2312" w:hAnsi="宋体" w:eastAsia="仿宋_GB2312" w:cs="仿宋_GB2312"/>
          <w:color w:val="auto"/>
          <w:sz w:val="24"/>
          <w:szCs w:val="24"/>
          <w:highlight w:val="none"/>
          <w:u w:val="single"/>
        </w:rPr>
      </w:pPr>
      <w:r>
        <w:rPr>
          <w:rFonts w:hint="eastAsia" w:ascii="仿宋_GB2312" w:hAnsi="宋体" w:eastAsia="仿宋_GB2312" w:cs="仿宋_GB2312"/>
          <w:color w:val="auto"/>
          <w:sz w:val="24"/>
          <w:szCs w:val="24"/>
          <w:highlight w:val="none"/>
        </w:rPr>
        <w:t>统一社会信用代码：</w:t>
      </w:r>
      <w:r>
        <w:rPr>
          <w:rFonts w:hint="eastAsia" w:ascii="仿宋_GB2312" w:hAnsi="宋体" w:eastAsia="仿宋_GB2312" w:cs="仿宋_GB2312"/>
          <w:color w:val="auto"/>
          <w:sz w:val="24"/>
          <w:szCs w:val="24"/>
          <w:highlight w:val="none"/>
          <w:u w:val="single"/>
        </w:rPr>
        <w:t xml:space="preserve">                       </w:t>
      </w:r>
      <w:r>
        <w:rPr>
          <w:rFonts w:hint="eastAsia" w:ascii="仿宋_GB2312" w:hAnsi="宋体" w:eastAsia="仿宋_GB2312" w:cs="仿宋_GB2312"/>
          <w:color w:val="auto"/>
          <w:sz w:val="24"/>
          <w:szCs w:val="24"/>
          <w:highlight w:val="none"/>
        </w:rPr>
        <w:t>法定代表人：</w:t>
      </w:r>
      <w:r>
        <w:rPr>
          <w:rFonts w:hint="eastAsia" w:ascii="仿宋_GB2312" w:hAnsi="宋体" w:eastAsia="仿宋_GB2312" w:cs="仿宋_GB2312"/>
          <w:color w:val="auto"/>
          <w:sz w:val="24"/>
          <w:szCs w:val="24"/>
          <w:highlight w:val="none"/>
          <w:u w:val="single"/>
        </w:rPr>
        <w:t xml:space="preserve">                </w:t>
      </w:r>
    </w:p>
    <w:p w14:paraId="6F9DAA15">
      <w:pPr>
        <w:spacing w:before="90" w:after="60" w:line="276" w:lineRule="auto"/>
        <w:rPr>
          <w:rFonts w:ascii="仿宋_GB2312" w:hAnsi="宋体" w:eastAsia="仿宋_GB2312"/>
          <w:color w:val="auto"/>
          <w:sz w:val="24"/>
          <w:szCs w:val="24"/>
          <w:highlight w:val="none"/>
          <w:u w:val="single"/>
        </w:rPr>
      </w:pPr>
      <w:r>
        <w:rPr>
          <w:rFonts w:hint="eastAsia" w:ascii="仿宋_GB2312" w:hAnsi="宋体" w:eastAsia="仿宋_GB2312" w:cs="仿宋_GB2312"/>
          <w:color w:val="auto"/>
          <w:sz w:val="24"/>
          <w:szCs w:val="24"/>
          <w:highlight w:val="none"/>
        </w:rPr>
        <w:t>联系人：</w:t>
      </w:r>
      <w:r>
        <w:rPr>
          <w:rFonts w:ascii="仿宋_GB2312" w:hAnsi="宋体" w:eastAsia="仿宋_GB2312" w:cs="仿宋_GB2312"/>
          <w:color w:val="auto"/>
          <w:sz w:val="24"/>
          <w:szCs w:val="24"/>
          <w:highlight w:val="none"/>
          <w:u w:val="single"/>
        </w:rPr>
        <w:t xml:space="preserve">         </w:t>
      </w:r>
      <w:r>
        <w:rPr>
          <w:rFonts w:hint="eastAsia" w:ascii="仿宋_GB2312" w:hAnsi="宋体" w:eastAsia="仿宋_GB2312" w:cs="仿宋_GB2312"/>
          <w:color w:val="auto"/>
          <w:sz w:val="24"/>
          <w:szCs w:val="24"/>
          <w:highlight w:val="none"/>
          <w:u w:val="single"/>
        </w:rPr>
        <w:t xml:space="preserve"> </w:t>
      </w:r>
      <w:r>
        <w:rPr>
          <w:rFonts w:ascii="仿宋_GB2312" w:hAnsi="宋体" w:eastAsia="仿宋_GB2312" w:cs="仿宋_GB2312"/>
          <w:color w:val="auto"/>
          <w:sz w:val="24"/>
          <w:szCs w:val="24"/>
          <w:highlight w:val="none"/>
          <w:u w:val="single"/>
        </w:rPr>
        <w:t xml:space="preserve">    </w:t>
      </w:r>
      <w:r>
        <w:rPr>
          <w:rFonts w:ascii="仿宋_GB2312" w:hAnsi="宋体" w:eastAsia="仿宋_GB2312" w:cs="仿宋_GB2312"/>
          <w:color w:val="auto"/>
          <w:sz w:val="24"/>
          <w:szCs w:val="24"/>
          <w:highlight w:val="none"/>
        </w:rPr>
        <w:t xml:space="preserve">  </w:t>
      </w:r>
      <w:r>
        <w:rPr>
          <w:rFonts w:hint="eastAsia" w:ascii="仿宋_GB2312" w:hAnsi="宋体" w:eastAsia="仿宋_GB2312" w:cs="仿宋_GB2312"/>
          <w:color w:val="auto"/>
          <w:sz w:val="24"/>
          <w:szCs w:val="24"/>
          <w:highlight w:val="none"/>
        </w:rPr>
        <w:t>联系电话：</w:t>
      </w:r>
      <w:r>
        <w:rPr>
          <w:rFonts w:ascii="仿宋_GB2312" w:hAnsi="宋体" w:eastAsia="仿宋_GB2312" w:cs="仿宋_GB2312"/>
          <w:color w:val="auto"/>
          <w:sz w:val="24"/>
          <w:szCs w:val="24"/>
          <w:highlight w:val="none"/>
          <w:u w:val="single"/>
        </w:rPr>
        <w:t xml:space="preserve">            </w:t>
      </w:r>
      <w:r>
        <w:rPr>
          <w:rFonts w:ascii="仿宋_GB2312" w:hAnsi="宋体" w:eastAsia="仿宋_GB2312" w:cs="仿宋_GB2312"/>
          <w:color w:val="auto"/>
          <w:sz w:val="24"/>
          <w:szCs w:val="24"/>
          <w:highlight w:val="none"/>
        </w:rPr>
        <w:t xml:space="preserve">  </w:t>
      </w:r>
      <w:r>
        <w:rPr>
          <w:rFonts w:hint="eastAsia" w:ascii="仿宋_GB2312" w:hAnsi="宋体" w:eastAsia="仿宋_GB2312" w:cs="仿宋_GB2312"/>
          <w:color w:val="auto"/>
          <w:sz w:val="24"/>
          <w:szCs w:val="24"/>
          <w:highlight w:val="none"/>
        </w:rPr>
        <w:t>传真：</w:t>
      </w:r>
      <w:r>
        <w:rPr>
          <w:rFonts w:ascii="仿宋_GB2312" w:hAnsi="宋体" w:eastAsia="仿宋_GB2312" w:cs="仿宋_GB2312"/>
          <w:color w:val="auto"/>
          <w:sz w:val="24"/>
          <w:szCs w:val="24"/>
          <w:highlight w:val="none"/>
          <w:u w:val="single"/>
        </w:rPr>
        <w:t xml:space="preserve">               </w:t>
      </w:r>
      <w:r>
        <w:rPr>
          <w:rFonts w:ascii="仿宋_GB2312" w:hAnsi="宋体" w:eastAsia="仿宋_GB2312" w:cs="仿宋_GB2312"/>
          <w:color w:val="auto"/>
          <w:sz w:val="24"/>
          <w:szCs w:val="24"/>
          <w:highlight w:val="none"/>
        </w:rPr>
        <w:t xml:space="preserve"> </w:t>
      </w:r>
    </w:p>
    <w:p w14:paraId="67FC6800">
      <w:pPr>
        <w:spacing w:before="90" w:after="60" w:line="276" w:lineRule="auto"/>
        <w:rPr>
          <w:rFonts w:ascii="仿宋_GB2312" w:hAnsi="宋体" w:eastAsia="仿宋_GB2312"/>
          <w:color w:val="auto"/>
          <w:sz w:val="24"/>
          <w:szCs w:val="24"/>
          <w:highlight w:val="none"/>
        </w:rPr>
      </w:pPr>
      <w:r>
        <w:rPr>
          <w:rFonts w:hint="eastAsia" w:ascii="仿宋_GB2312" w:hAnsi="宋体" w:eastAsia="仿宋_GB2312" w:cs="仿宋_GB2312"/>
          <w:color w:val="auto"/>
          <w:sz w:val="24"/>
          <w:szCs w:val="24"/>
          <w:highlight w:val="none"/>
        </w:rPr>
        <w:t>电子邮箱：</w:t>
      </w:r>
      <w:r>
        <w:rPr>
          <w:rFonts w:ascii="仿宋_GB2312" w:hAnsi="宋体" w:eastAsia="仿宋_GB2312" w:cs="仿宋_GB2312"/>
          <w:color w:val="auto"/>
          <w:sz w:val="24"/>
          <w:szCs w:val="24"/>
          <w:highlight w:val="none"/>
          <w:u w:val="single"/>
        </w:rPr>
        <w:t xml:space="preserve">                       </w:t>
      </w:r>
      <w:r>
        <w:rPr>
          <w:rFonts w:hint="eastAsia" w:ascii="仿宋_GB2312" w:hAnsi="宋体" w:eastAsia="仿宋_GB2312" w:cs="仿宋_GB2312"/>
          <w:color w:val="auto"/>
          <w:sz w:val="24"/>
          <w:szCs w:val="24"/>
          <w:highlight w:val="none"/>
          <w:u w:val="single"/>
        </w:rPr>
        <w:t xml:space="preserve"> </w:t>
      </w:r>
      <w:r>
        <w:rPr>
          <w:rFonts w:ascii="仿宋_GB2312" w:hAnsi="宋体" w:eastAsia="仿宋_GB2312" w:cs="仿宋_GB2312"/>
          <w:color w:val="auto"/>
          <w:sz w:val="24"/>
          <w:szCs w:val="24"/>
          <w:highlight w:val="none"/>
          <w:u w:val="single"/>
        </w:rPr>
        <w:t xml:space="preserve">  </w:t>
      </w:r>
      <w:r>
        <w:rPr>
          <w:rFonts w:hint="eastAsia" w:ascii="仿宋_GB2312" w:hAnsi="宋体" w:eastAsia="仿宋_GB2312" w:cs="仿宋_GB2312"/>
          <w:color w:val="auto"/>
          <w:sz w:val="24"/>
          <w:szCs w:val="24"/>
          <w:highlight w:val="none"/>
        </w:rPr>
        <w:t>邮政编码：</w:t>
      </w:r>
      <w:r>
        <w:rPr>
          <w:rFonts w:ascii="仿宋_GB2312" w:hAnsi="宋体" w:eastAsia="仿宋_GB2312" w:cs="仿宋_GB2312"/>
          <w:color w:val="auto"/>
          <w:sz w:val="24"/>
          <w:szCs w:val="24"/>
          <w:highlight w:val="none"/>
          <w:u w:val="single"/>
        </w:rPr>
        <w:t xml:space="preserve">                        </w:t>
      </w:r>
    </w:p>
    <w:p w14:paraId="217FF5D8">
      <w:pPr>
        <w:spacing w:before="90" w:after="60" w:line="276" w:lineRule="auto"/>
        <w:rPr>
          <w:rFonts w:ascii="仿宋_GB2312" w:hAnsi="宋体" w:eastAsia="仿宋_GB2312"/>
          <w:color w:val="auto"/>
          <w:sz w:val="24"/>
          <w:szCs w:val="24"/>
          <w:highlight w:val="none"/>
        </w:rPr>
      </w:pPr>
    </w:p>
    <w:p w14:paraId="16B2559B">
      <w:pPr>
        <w:spacing w:before="90" w:after="60" w:line="276" w:lineRule="auto"/>
        <w:rPr>
          <w:rFonts w:ascii="仿宋_GB2312" w:hAnsi="宋体" w:eastAsia="仿宋_GB2312" w:cs="仿宋_GB2312"/>
          <w:color w:val="auto"/>
          <w:sz w:val="24"/>
          <w:szCs w:val="24"/>
          <w:highlight w:val="none"/>
          <w:u w:val="single"/>
        </w:rPr>
      </w:pPr>
      <w:r>
        <w:rPr>
          <w:rFonts w:hint="eastAsia" w:ascii="仿宋_GB2312" w:hAnsi="宋体" w:eastAsia="仿宋_GB2312" w:cs="仿宋_GB2312"/>
          <w:color w:val="auto"/>
          <w:sz w:val="24"/>
          <w:szCs w:val="24"/>
          <w:highlight w:val="none"/>
        </w:rPr>
        <w:t>承租方（以下简称乙方）：</w:t>
      </w:r>
      <w:r>
        <w:rPr>
          <w:rFonts w:ascii="仿宋_GB2312" w:hAnsi="宋体" w:eastAsia="仿宋_GB2312" w:cs="仿宋_GB2312"/>
          <w:color w:val="auto"/>
          <w:sz w:val="24"/>
          <w:szCs w:val="24"/>
          <w:highlight w:val="none"/>
          <w:u w:val="single"/>
        </w:rPr>
        <w:t xml:space="preserve">                                             </w:t>
      </w:r>
      <w:r>
        <w:rPr>
          <w:rFonts w:hint="eastAsia" w:ascii="仿宋_GB2312" w:hAnsi="宋体" w:eastAsia="仿宋_GB2312" w:cs="仿宋_GB2312"/>
          <w:color w:val="auto"/>
          <w:sz w:val="24"/>
          <w:szCs w:val="24"/>
          <w:highlight w:val="none"/>
          <w:u w:val="single"/>
        </w:rPr>
        <w:t xml:space="preserve"> </w:t>
      </w:r>
      <w:r>
        <w:rPr>
          <w:rFonts w:ascii="仿宋_GB2312" w:hAnsi="宋体" w:eastAsia="仿宋_GB2312" w:cs="仿宋_GB2312"/>
          <w:color w:val="auto"/>
          <w:sz w:val="24"/>
          <w:szCs w:val="24"/>
          <w:highlight w:val="none"/>
          <w:u w:val="single"/>
        </w:rPr>
        <w:t xml:space="preserve"> </w:t>
      </w:r>
    </w:p>
    <w:p w14:paraId="22E4C4BE">
      <w:pPr>
        <w:spacing w:before="90" w:after="60" w:line="276" w:lineRule="auto"/>
        <w:jc w:val="left"/>
        <w:rPr>
          <w:rFonts w:ascii="仿宋_GB2312" w:hAnsi="宋体" w:eastAsia="仿宋_GB2312" w:cs="仿宋_GB2312"/>
          <w:color w:val="auto"/>
          <w:sz w:val="24"/>
          <w:szCs w:val="24"/>
          <w:highlight w:val="none"/>
          <w:u w:val="single"/>
        </w:rPr>
      </w:pPr>
      <w:r>
        <w:rPr>
          <w:rFonts w:hint="eastAsia" w:ascii="仿宋_GB2312" w:hAnsi="宋体" w:eastAsia="仿宋_GB2312" w:cs="仿宋_GB2312"/>
          <w:color w:val="auto"/>
          <w:sz w:val="24"/>
          <w:szCs w:val="24"/>
          <w:highlight w:val="none"/>
        </w:rPr>
        <w:t>通讯地址：</w:t>
      </w:r>
      <w:r>
        <w:rPr>
          <w:rFonts w:ascii="仿宋_GB2312" w:hAnsi="宋体" w:eastAsia="仿宋_GB2312" w:cs="仿宋_GB2312"/>
          <w:color w:val="auto"/>
          <w:sz w:val="24"/>
          <w:szCs w:val="24"/>
          <w:highlight w:val="none"/>
          <w:u w:val="single"/>
        </w:rPr>
        <w:t xml:space="preserve">                                                            </w:t>
      </w:r>
    </w:p>
    <w:p w14:paraId="24EA986A">
      <w:pPr>
        <w:spacing w:before="90" w:after="60" w:line="276" w:lineRule="auto"/>
        <w:jc w:val="left"/>
        <w:rPr>
          <w:rFonts w:ascii="仿宋_GB2312" w:hAnsi="宋体" w:eastAsia="仿宋_GB2312"/>
          <w:color w:val="auto"/>
          <w:sz w:val="24"/>
          <w:szCs w:val="24"/>
          <w:highlight w:val="none"/>
        </w:rPr>
      </w:pPr>
      <w:r>
        <w:rPr>
          <w:rFonts w:hint="eastAsia" w:ascii="仿宋_GB2312" w:hAnsi="宋体" w:eastAsia="仿宋_GB2312" w:cs="仿宋_GB2312"/>
          <w:color w:val="auto"/>
          <w:sz w:val="24"/>
          <w:szCs w:val="24"/>
          <w:highlight w:val="none"/>
        </w:rPr>
        <w:t>统一社会信用代码/注册号</w:t>
      </w:r>
      <w:r>
        <w:rPr>
          <w:rFonts w:ascii="仿宋_GB2312" w:hAnsi="宋体" w:eastAsia="仿宋_GB2312" w:cs="仿宋_GB2312"/>
          <w:color w:val="auto"/>
          <w:sz w:val="24"/>
          <w:szCs w:val="24"/>
          <w:highlight w:val="none"/>
        </w:rPr>
        <w:t>/</w:t>
      </w:r>
      <w:r>
        <w:rPr>
          <w:rFonts w:hint="eastAsia" w:ascii="仿宋_GB2312" w:hAnsi="宋体" w:eastAsia="仿宋_GB2312" w:cs="仿宋_GB2312"/>
          <w:color w:val="auto"/>
          <w:sz w:val="24"/>
          <w:szCs w:val="24"/>
          <w:highlight w:val="none"/>
        </w:rPr>
        <w:t>身份证号码：</w:t>
      </w:r>
      <w:r>
        <w:rPr>
          <w:rFonts w:ascii="仿宋_GB2312" w:hAnsi="宋体" w:eastAsia="仿宋_GB2312" w:cs="仿宋_GB2312"/>
          <w:color w:val="auto"/>
          <w:sz w:val="24"/>
          <w:szCs w:val="24"/>
          <w:highlight w:val="none"/>
          <w:u w:val="single"/>
        </w:rPr>
        <w:t xml:space="preserve">               </w:t>
      </w:r>
      <w:r>
        <w:rPr>
          <w:rFonts w:hint="eastAsia" w:ascii="仿宋_GB2312" w:hAnsi="宋体" w:eastAsia="仿宋_GB2312" w:cs="仿宋_GB2312"/>
          <w:color w:val="auto"/>
          <w:sz w:val="24"/>
          <w:szCs w:val="24"/>
          <w:highlight w:val="none"/>
        </w:rPr>
        <w:t>法定代表人：</w:t>
      </w:r>
      <w:r>
        <w:rPr>
          <w:rFonts w:ascii="仿宋_GB2312" w:hAnsi="宋体" w:eastAsia="仿宋_GB2312" w:cs="仿宋_GB2312"/>
          <w:color w:val="auto"/>
          <w:sz w:val="24"/>
          <w:szCs w:val="24"/>
          <w:highlight w:val="none"/>
          <w:u w:val="single"/>
        </w:rPr>
        <w:t xml:space="preserve">       </w:t>
      </w:r>
    </w:p>
    <w:p w14:paraId="2CF3573A">
      <w:pPr>
        <w:spacing w:before="90" w:after="60" w:line="276" w:lineRule="auto"/>
        <w:rPr>
          <w:rFonts w:ascii="仿宋_GB2312" w:hAnsi="宋体" w:eastAsia="仿宋_GB2312"/>
          <w:color w:val="auto"/>
          <w:sz w:val="24"/>
          <w:szCs w:val="24"/>
          <w:highlight w:val="none"/>
          <w:u w:val="single"/>
        </w:rPr>
      </w:pPr>
      <w:r>
        <w:rPr>
          <w:rFonts w:hint="eastAsia" w:ascii="仿宋_GB2312" w:hAnsi="宋体" w:eastAsia="仿宋_GB2312" w:cs="仿宋_GB2312"/>
          <w:color w:val="auto"/>
          <w:sz w:val="24"/>
          <w:szCs w:val="24"/>
          <w:highlight w:val="none"/>
        </w:rPr>
        <w:t>联系人：</w:t>
      </w:r>
      <w:r>
        <w:rPr>
          <w:rFonts w:ascii="仿宋_GB2312" w:hAnsi="宋体" w:eastAsia="仿宋_GB2312" w:cs="仿宋_GB2312"/>
          <w:color w:val="auto"/>
          <w:sz w:val="24"/>
          <w:szCs w:val="24"/>
          <w:highlight w:val="none"/>
          <w:u w:val="single"/>
        </w:rPr>
        <w:t xml:space="preserve">         </w:t>
      </w:r>
      <w:r>
        <w:rPr>
          <w:rFonts w:hint="eastAsia" w:ascii="仿宋_GB2312" w:hAnsi="宋体" w:eastAsia="仿宋_GB2312" w:cs="仿宋_GB2312"/>
          <w:color w:val="auto"/>
          <w:sz w:val="24"/>
          <w:szCs w:val="24"/>
          <w:highlight w:val="none"/>
          <w:u w:val="single"/>
        </w:rPr>
        <w:t xml:space="preserve"> </w:t>
      </w:r>
      <w:r>
        <w:rPr>
          <w:rFonts w:ascii="仿宋_GB2312" w:hAnsi="宋体" w:eastAsia="仿宋_GB2312" w:cs="仿宋_GB2312"/>
          <w:color w:val="auto"/>
          <w:sz w:val="24"/>
          <w:szCs w:val="24"/>
          <w:highlight w:val="none"/>
          <w:u w:val="single"/>
        </w:rPr>
        <w:t xml:space="preserve">    </w:t>
      </w:r>
      <w:r>
        <w:rPr>
          <w:rFonts w:ascii="仿宋_GB2312" w:hAnsi="宋体" w:eastAsia="仿宋_GB2312" w:cs="仿宋_GB2312"/>
          <w:color w:val="auto"/>
          <w:sz w:val="24"/>
          <w:szCs w:val="24"/>
          <w:highlight w:val="none"/>
        </w:rPr>
        <w:t xml:space="preserve">  </w:t>
      </w:r>
      <w:r>
        <w:rPr>
          <w:rFonts w:hint="eastAsia" w:ascii="仿宋_GB2312" w:hAnsi="宋体" w:eastAsia="仿宋_GB2312" w:cs="仿宋_GB2312"/>
          <w:color w:val="auto"/>
          <w:sz w:val="24"/>
          <w:szCs w:val="24"/>
          <w:highlight w:val="none"/>
        </w:rPr>
        <w:t>联系电话：</w:t>
      </w:r>
      <w:r>
        <w:rPr>
          <w:rFonts w:ascii="仿宋_GB2312" w:hAnsi="宋体" w:eastAsia="仿宋_GB2312" w:cs="仿宋_GB2312"/>
          <w:color w:val="auto"/>
          <w:sz w:val="24"/>
          <w:szCs w:val="24"/>
          <w:highlight w:val="none"/>
          <w:u w:val="single"/>
        </w:rPr>
        <w:t xml:space="preserve">            </w:t>
      </w:r>
      <w:r>
        <w:rPr>
          <w:rFonts w:ascii="仿宋_GB2312" w:hAnsi="宋体" w:eastAsia="仿宋_GB2312" w:cs="仿宋_GB2312"/>
          <w:color w:val="auto"/>
          <w:sz w:val="24"/>
          <w:szCs w:val="24"/>
          <w:highlight w:val="none"/>
        </w:rPr>
        <w:t xml:space="preserve">  </w:t>
      </w:r>
      <w:r>
        <w:rPr>
          <w:rFonts w:hint="eastAsia" w:ascii="仿宋_GB2312" w:hAnsi="宋体" w:eastAsia="仿宋_GB2312" w:cs="仿宋_GB2312"/>
          <w:color w:val="auto"/>
          <w:sz w:val="24"/>
          <w:szCs w:val="24"/>
          <w:highlight w:val="none"/>
        </w:rPr>
        <w:t>传真：</w:t>
      </w:r>
      <w:r>
        <w:rPr>
          <w:rFonts w:ascii="仿宋_GB2312" w:hAnsi="宋体" w:eastAsia="仿宋_GB2312" w:cs="仿宋_GB2312"/>
          <w:color w:val="auto"/>
          <w:sz w:val="24"/>
          <w:szCs w:val="24"/>
          <w:highlight w:val="none"/>
          <w:u w:val="single"/>
        </w:rPr>
        <w:t xml:space="preserve">               </w:t>
      </w:r>
      <w:r>
        <w:rPr>
          <w:rFonts w:ascii="仿宋_GB2312" w:hAnsi="宋体" w:eastAsia="仿宋_GB2312" w:cs="仿宋_GB2312"/>
          <w:color w:val="auto"/>
          <w:sz w:val="24"/>
          <w:szCs w:val="24"/>
          <w:highlight w:val="none"/>
        </w:rPr>
        <w:t xml:space="preserve"> </w:t>
      </w:r>
    </w:p>
    <w:p w14:paraId="6B5CB8F4">
      <w:pPr>
        <w:spacing w:before="90" w:after="60" w:line="276" w:lineRule="auto"/>
        <w:rPr>
          <w:rFonts w:ascii="仿宋_GB2312" w:hAnsi="宋体" w:eastAsia="仿宋_GB2312"/>
          <w:color w:val="auto"/>
          <w:sz w:val="24"/>
          <w:szCs w:val="24"/>
          <w:highlight w:val="none"/>
        </w:rPr>
      </w:pPr>
      <w:r>
        <w:rPr>
          <w:rFonts w:hint="eastAsia" w:ascii="仿宋_GB2312" w:hAnsi="宋体" w:eastAsia="仿宋_GB2312" w:cs="仿宋_GB2312"/>
          <w:color w:val="auto"/>
          <w:sz w:val="24"/>
          <w:szCs w:val="24"/>
          <w:highlight w:val="none"/>
        </w:rPr>
        <w:t>电子邮箱：</w:t>
      </w:r>
      <w:r>
        <w:rPr>
          <w:rFonts w:ascii="仿宋_GB2312" w:hAnsi="宋体" w:eastAsia="仿宋_GB2312" w:cs="仿宋_GB2312"/>
          <w:color w:val="auto"/>
          <w:sz w:val="24"/>
          <w:szCs w:val="24"/>
          <w:highlight w:val="none"/>
          <w:u w:val="single"/>
        </w:rPr>
        <w:t xml:space="preserve">                       </w:t>
      </w:r>
      <w:r>
        <w:rPr>
          <w:rFonts w:hint="eastAsia" w:ascii="仿宋_GB2312" w:hAnsi="宋体" w:eastAsia="仿宋_GB2312" w:cs="仿宋_GB2312"/>
          <w:color w:val="auto"/>
          <w:sz w:val="24"/>
          <w:szCs w:val="24"/>
          <w:highlight w:val="none"/>
          <w:u w:val="single"/>
        </w:rPr>
        <w:t xml:space="preserve"> </w:t>
      </w:r>
      <w:r>
        <w:rPr>
          <w:rFonts w:ascii="仿宋_GB2312" w:hAnsi="宋体" w:eastAsia="仿宋_GB2312" w:cs="仿宋_GB2312"/>
          <w:color w:val="auto"/>
          <w:sz w:val="24"/>
          <w:szCs w:val="24"/>
          <w:highlight w:val="none"/>
          <w:u w:val="single"/>
        </w:rPr>
        <w:t xml:space="preserve">  </w:t>
      </w:r>
      <w:r>
        <w:rPr>
          <w:rFonts w:hint="eastAsia" w:ascii="仿宋_GB2312" w:hAnsi="宋体" w:eastAsia="仿宋_GB2312" w:cs="仿宋_GB2312"/>
          <w:color w:val="auto"/>
          <w:sz w:val="24"/>
          <w:szCs w:val="24"/>
          <w:highlight w:val="none"/>
        </w:rPr>
        <w:t>邮政编码：</w:t>
      </w:r>
      <w:r>
        <w:rPr>
          <w:rFonts w:ascii="仿宋_GB2312" w:hAnsi="宋体" w:eastAsia="仿宋_GB2312" w:cs="仿宋_GB2312"/>
          <w:color w:val="auto"/>
          <w:sz w:val="24"/>
          <w:szCs w:val="24"/>
          <w:highlight w:val="none"/>
          <w:u w:val="single"/>
        </w:rPr>
        <w:t xml:space="preserve">                        </w:t>
      </w:r>
    </w:p>
    <w:p w14:paraId="24A54ABA">
      <w:pPr>
        <w:spacing w:line="360" w:lineRule="auto"/>
        <w:jc w:val="center"/>
        <w:rPr>
          <w:rFonts w:ascii="仿宋_GB2312" w:eastAsia="仿宋_GB2312"/>
          <w:color w:val="auto"/>
          <w:sz w:val="24"/>
          <w:szCs w:val="24"/>
          <w:highlight w:val="none"/>
        </w:rPr>
      </w:pPr>
    </w:p>
    <w:p w14:paraId="5677FB53">
      <w:pPr>
        <w:adjustRightInd w:val="0"/>
        <w:snapToGrid w:val="0"/>
        <w:spacing w:before="90" w:after="60"/>
        <w:ind w:firstLine="480" w:firstLineChars="200"/>
        <w:rPr>
          <w:rFonts w:ascii="仿宋_GB2312" w:hAnsi="宋体" w:eastAsia="仿宋_GB2312" w:cs="仿宋_GB2312"/>
          <w:color w:val="auto"/>
          <w:sz w:val="24"/>
          <w:szCs w:val="24"/>
          <w:highlight w:val="none"/>
        </w:rPr>
      </w:pPr>
      <w:r>
        <w:rPr>
          <w:rFonts w:hint="eastAsia" w:ascii="仿宋_GB2312" w:hAnsi="宋体" w:eastAsia="仿宋_GB2312" w:cs="仿宋_GB2312"/>
          <w:color w:val="auto"/>
          <w:sz w:val="24"/>
          <w:szCs w:val="24"/>
          <w:highlight w:val="none"/>
        </w:rPr>
        <w:t>根据《中华人民共和国民法典》及有关法律法规之规定，甲、乙双方经友好协商一致，就甲方有权出租的厂房租赁事宜达成如下协议：</w:t>
      </w:r>
    </w:p>
    <w:p w14:paraId="2E84B20D">
      <w:pPr>
        <w:adjustRightInd w:val="0"/>
        <w:snapToGrid w:val="0"/>
        <w:spacing w:before="90" w:after="60"/>
        <w:ind w:firstLine="482" w:firstLineChars="200"/>
        <w:rPr>
          <w:rFonts w:ascii="仿宋_GB2312" w:hAnsi="宋体" w:eastAsia="仿宋_GB2312" w:cs="仿宋_GB2312"/>
          <w:b/>
          <w:bCs/>
          <w:color w:val="auto"/>
          <w:sz w:val="24"/>
          <w:szCs w:val="24"/>
          <w:highlight w:val="none"/>
        </w:rPr>
      </w:pPr>
      <w:r>
        <w:rPr>
          <w:rFonts w:hint="eastAsia" w:ascii="仿宋_GB2312" w:hAnsi="宋体" w:eastAsia="仿宋_GB2312" w:cs="仿宋_GB2312"/>
          <w:b/>
          <w:bCs/>
          <w:color w:val="auto"/>
          <w:sz w:val="24"/>
          <w:szCs w:val="24"/>
          <w:highlight w:val="none"/>
        </w:rPr>
        <w:t>第一条 租赁物基本情况</w:t>
      </w:r>
    </w:p>
    <w:p w14:paraId="42B1465F">
      <w:pPr>
        <w:spacing w:before="90" w:after="60"/>
        <w:ind w:left="1" w:firstLine="480" w:firstLineChars="200"/>
        <w:rPr>
          <w:rFonts w:eastAsia="仿宋_GB2312" w:cs="Calibri"/>
          <w:color w:val="auto"/>
          <w:sz w:val="24"/>
          <w:szCs w:val="24"/>
          <w:highlight w:val="none"/>
        </w:rPr>
      </w:pPr>
      <w:r>
        <w:rPr>
          <w:rFonts w:hint="eastAsia" w:ascii="仿宋_GB2312" w:eastAsia="仿宋_GB2312"/>
          <w:color w:val="auto"/>
          <w:sz w:val="24"/>
          <w:szCs w:val="24"/>
          <w:highlight w:val="none"/>
        </w:rPr>
        <w:t>1、</w:t>
      </w:r>
      <w:r>
        <w:rPr>
          <w:rFonts w:hint="eastAsia" w:ascii="仿宋_GB2312" w:hAnsi="宋体" w:eastAsia="仿宋_GB2312" w:cs="仿宋_GB2312"/>
          <w:color w:val="auto"/>
          <w:sz w:val="24"/>
          <w:szCs w:val="24"/>
          <w:highlight w:val="none"/>
        </w:rPr>
        <w:t>甲方将坐落</w:t>
      </w:r>
      <w:r>
        <w:rPr>
          <w:rFonts w:hint="eastAsia" w:ascii="仿宋_GB2312" w:hAnsi="宋体" w:eastAsia="仿宋_GB2312" w:cs="仿宋_GB2312"/>
          <w:color w:val="auto"/>
          <w:sz w:val="24"/>
          <w:szCs w:val="24"/>
          <w:highlight w:val="none"/>
          <w:u w:val="single"/>
        </w:rPr>
        <w:t xml:space="preserve">             </w:t>
      </w:r>
      <w:r>
        <w:rPr>
          <w:rFonts w:hint="eastAsia" w:ascii="仿宋_GB2312" w:hAnsi="宋体" w:eastAsia="仿宋_GB2312" w:cs="仿宋_GB2312"/>
          <w:color w:val="auto"/>
          <w:sz w:val="24"/>
          <w:szCs w:val="24"/>
          <w:highlight w:val="none"/>
        </w:rPr>
        <w:t>的厂房（以下简称“租赁厂房”）按现状出租给乙方，乙方经实地考察自愿承租，租赁厂房建筑面积</w:t>
      </w:r>
      <w:r>
        <w:rPr>
          <w:rFonts w:hint="eastAsia" w:ascii="仿宋_GB2312" w:hAnsi="宋体" w:eastAsia="仿宋_GB2312" w:cs="仿宋_GB2312"/>
          <w:color w:val="auto"/>
          <w:sz w:val="24"/>
          <w:szCs w:val="24"/>
          <w:highlight w:val="none"/>
          <w:u w:val="single"/>
        </w:rPr>
        <w:t xml:space="preserve">       </w:t>
      </w:r>
      <w:r>
        <w:rPr>
          <w:rFonts w:hint="eastAsia" w:ascii="仿宋_GB2312" w:hAnsi="宋体" w:cs="宋体"/>
          <w:color w:val="auto"/>
          <w:sz w:val="24"/>
          <w:szCs w:val="24"/>
          <w:highlight w:val="none"/>
        </w:rPr>
        <w:t>㎡/</w:t>
      </w:r>
      <w:r>
        <w:rPr>
          <w:rFonts w:hint="eastAsia" w:ascii="仿宋_GB2312" w:hAnsi="宋体" w:eastAsia="仿宋_GB2312" w:cs="仿宋_GB2312"/>
          <w:color w:val="auto"/>
          <w:sz w:val="24"/>
          <w:szCs w:val="24"/>
          <w:highlight w:val="none"/>
        </w:rPr>
        <w:t>租赁厂房建筑面积暂定</w:t>
      </w:r>
      <w:r>
        <w:rPr>
          <w:rFonts w:hint="eastAsia" w:ascii="仿宋_GB2312" w:hAnsi="宋体" w:eastAsia="仿宋_GB2312" w:cs="仿宋_GB2312"/>
          <w:b/>
          <w:bCs/>
          <w:color w:val="auto"/>
          <w:sz w:val="24"/>
          <w:szCs w:val="24"/>
          <w:highlight w:val="none"/>
          <w:u w:val="single"/>
        </w:rPr>
        <w:t xml:space="preserve">  </w:t>
      </w:r>
      <w:r>
        <w:rPr>
          <w:rFonts w:hint="eastAsia" w:ascii="仿宋_GB2312" w:hAnsi="宋体" w:eastAsia="仿宋_GB2312" w:cs="仿宋_GB2312"/>
          <w:color w:val="auto"/>
          <w:sz w:val="24"/>
          <w:szCs w:val="24"/>
          <w:highlight w:val="none"/>
          <w:u w:val="single"/>
        </w:rPr>
        <w:t xml:space="preserve"> </w:t>
      </w:r>
      <w:r>
        <w:rPr>
          <w:rFonts w:hint="eastAsia" w:ascii="仿宋_GB2312" w:hAnsi="宋体" w:cs="宋体"/>
          <w:color w:val="auto"/>
          <w:sz w:val="24"/>
          <w:szCs w:val="24"/>
          <w:highlight w:val="none"/>
        </w:rPr>
        <w:t>㎡，</w:t>
      </w:r>
      <w:r>
        <w:rPr>
          <w:rFonts w:hint="eastAsia" w:ascii="仿宋" w:hAnsi="仿宋" w:eastAsia="仿宋" w:cs="仿宋"/>
          <w:color w:val="auto"/>
          <w:sz w:val="24"/>
          <w:szCs w:val="24"/>
          <w:highlight w:val="none"/>
        </w:rPr>
        <w:t>最终实际建筑面积以甲方委托的房产面积测绘单位出具的房产面积测绘报告为准。</w:t>
      </w:r>
    </w:p>
    <w:p w14:paraId="161DE94F">
      <w:pPr>
        <w:spacing w:before="90" w:after="60"/>
        <w:ind w:left="1" w:firstLine="480" w:firstLineChars="200"/>
        <w:rPr>
          <w:rFonts w:eastAsia="仿宋_GB2312" w:cs="Calibri"/>
          <w:color w:val="auto"/>
          <w:sz w:val="24"/>
          <w:szCs w:val="24"/>
          <w:highlight w:val="none"/>
        </w:rPr>
      </w:pPr>
      <w:r>
        <w:rPr>
          <w:rFonts w:hint="eastAsia" w:ascii="仿宋_GB2312" w:hAnsi="宋体" w:eastAsia="仿宋_GB2312" w:cs="仿宋_GB2312"/>
          <w:color w:val="auto"/>
          <w:sz w:val="24"/>
          <w:szCs w:val="24"/>
          <w:highlight w:val="none"/>
        </w:rPr>
        <w:t>若厂房实际建筑面积与本合同暂定的建筑面积不一致，甲乙双方应另行签订补充协议，确定厂房租赁的建筑面积及租金计收表/本合同约定的租金标准不作调整。（选择性条款，适用于未取得测绘数据的新项目）</w:t>
      </w:r>
    </w:p>
    <w:p w14:paraId="5BCEB55F">
      <w:pPr>
        <w:spacing w:before="90" w:after="60"/>
        <w:ind w:firstLine="480" w:firstLineChars="200"/>
        <w:rPr>
          <w:rFonts w:ascii="仿宋_GB2312" w:eastAsia="仿宋_GB2312"/>
          <w:color w:val="auto"/>
          <w:sz w:val="24"/>
          <w:szCs w:val="24"/>
          <w:highlight w:val="none"/>
        </w:rPr>
      </w:pPr>
      <w:r>
        <w:rPr>
          <w:rFonts w:hint="eastAsia" w:ascii="仿宋_GB2312" w:eastAsia="仿宋_GB2312"/>
          <w:color w:val="auto"/>
          <w:sz w:val="24"/>
          <w:szCs w:val="24"/>
          <w:highlight w:val="none"/>
        </w:rPr>
        <w:t>2、</w:t>
      </w:r>
      <w:r>
        <w:rPr>
          <w:rFonts w:hint="eastAsia" w:ascii="仿宋_GB2312" w:hAnsi="宋体" w:eastAsia="仿宋_GB2312" w:cs="仿宋_GB2312"/>
          <w:color w:val="auto"/>
          <w:sz w:val="24"/>
          <w:szCs w:val="24"/>
          <w:highlight w:val="none"/>
        </w:rPr>
        <w:t>租赁厂房用途为</w:t>
      </w:r>
      <w:r>
        <w:rPr>
          <w:rFonts w:hint="eastAsia" w:ascii="仿宋_GB2312" w:hAnsi="宋体" w:eastAsia="仿宋_GB2312" w:cs="仿宋_GB2312"/>
          <w:color w:val="auto"/>
          <w:sz w:val="24"/>
          <w:szCs w:val="24"/>
          <w:highlight w:val="none"/>
          <w:u w:val="single"/>
        </w:rPr>
        <w:t xml:space="preserve">       </w:t>
      </w:r>
      <w:r>
        <w:rPr>
          <w:rFonts w:hint="eastAsia" w:ascii="宋体" w:hAnsi="宋体" w:eastAsia="仿宋_GB2312" w:cs="仿宋_GB2312"/>
          <w:color w:val="auto"/>
          <w:kern w:val="0"/>
          <w:sz w:val="24"/>
          <w:szCs w:val="24"/>
          <w:highlight w:val="none"/>
        </w:rPr>
        <w:t>，</w:t>
      </w:r>
      <w:r>
        <w:rPr>
          <w:rFonts w:hint="eastAsia" w:ascii="仿宋_GB2312" w:hAnsi="宋体" w:eastAsia="仿宋_GB2312" w:cs="仿宋_GB2312"/>
          <w:color w:val="auto"/>
          <w:sz w:val="24"/>
          <w:szCs w:val="24"/>
          <w:highlight w:val="none"/>
        </w:rPr>
        <w:t>乙方应按照有关法律法规、规章政策的规定自行办理经营活动所必须的审批手续，在完成相关审批后</w:t>
      </w:r>
      <w:r>
        <w:rPr>
          <w:rFonts w:hint="eastAsia" w:ascii="仿宋_GB2312" w:hAnsi="宋体" w:eastAsia="仿宋_GB2312" w:cs="仿宋_GB2312"/>
          <w:color w:val="auto"/>
          <w:sz w:val="24"/>
          <w:szCs w:val="24"/>
          <w:highlight w:val="none"/>
          <w:u w:val="single"/>
        </w:rPr>
        <w:t xml:space="preserve">    </w:t>
      </w:r>
      <w:r>
        <w:rPr>
          <w:rFonts w:hint="eastAsia" w:ascii="仿宋_GB2312" w:hAnsi="宋体" w:eastAsia="仿宋_GB2312" w:cs="仿宋_GB2312"/>
          <w:color w:val="auto"/>
          <w:sz w:val="24"/>
          <w:szCs w:val="24"/>
          <w:highlight w:val="none"/>
        </w:rPr>
        <w:t>日内，将所有批准文件复印一份并加盖公章交予甲方备案；若乙方办理相关审批需要甲方协助的，甲方可予以配合，所发生的费用由乙方承担。未经甲方同意及相关法定程序批准，乙方不得随意变更厂房用途，否则甲方有权依本合同第十一条的相关约定处理，且由乙方承担一切民事法律责任，并与甲方无关，若因此连带给甲方造成损失的，乙方应予以赔偿。乙方不得以无法办理营业资质为由要求解除合同及要求甲方赔偿。</w:t>
      </w:r>
    </w:p>
    <w:p w14:paraId="2B17D5E4">
      <w:pPr>
        <w:spacing w:before="90" w:after="60"/>
        <w:ind w:firstLine="482" w:firstLineChars="200"/>
        <w:rPr>
          <w:rFonts w:ascii="仿宋_GB2312" w:eastAsia="仿宋_GB2312"/>
          <w:b/>
          <w:color w:val="auto"/>
          <w:sz w:val="24"/>
          <w:szCs w:val="24"/>
          <w:highlight w:val="none"/>
        </w:rPr>
      </w:pPr>
      <w:r>
        <w:rPr>
          <w:rFonts w:hint="eastAsia" w:ascii="仿宋_GB2312" w:eastAsia="仿宋_GB2312"/>
          <w:b/>
          <w:color w:val="auto"/>
          <w:sz w:val="24"/>
          <w:szCs w:val="24"/>
          <w:highlight w:val="none"/>
        </w:rPr>
        <w:t>乙方确认对租赁厂房及其附属设备设施（包括但不限于供水、供电、消防、空调设备设施等，下同）等租赁物的现状、权属状况等已有充分了解，且无任何异议，同意按租赁房屋及其附属设备设施等租赁物交付时的现状承租。</w:t>
      </w:r>
    </w:p>
    <w:p w14:paraId="734F8FA2">
      <w:pPr>
        <w:adjustRightInd w:val="0"/>
        <w:snapToGrid w:val="0"/>
        <w:spacing w:before="90" w:after="60"/>
        <w:ind w:firstLine="482" w:firstLineChars="200"/>
        <w:rPr>
          <w:rFonts w:ascii="仿宋_GB2312" w:hAnsi="宋体" w:eastAsia="仿宋_GB2312" w:cs="仿宋_GB2312"/>
          <w:b/>
          <w:bCs/>
          <w:color w:val="auto"/>
          <w:sz w:val="24"/>
          <w:szCs w:val="24"/>
          <w:highlight w:val="none"/>
        </w:rPr>
      </w:pPr>
      <w:r>
        <w:rPr>
          <w:rFonts w:hint="eastAsia" w:ascii="仿宋_GB2312" w:hAnsi="宋体" w:eastAsia="仿宋_GB2312" w:cs="仿宋_GB2312"/>
          <w:b/>
          <w:bCs/>
          <w:color w:val="auto"/>
          <w:sz w:val="24"/>
          <w:szCs w:val="24"/>
          <w:highlight w:val="none"/>
        </w:rPr>
        <w:t>第二条 租赁期限</w:t>
      </w:r>
    </w:p>
    <w:p w14:paraId="20A7BB27">
      <w:pPr>
        <w:adjustRightInd w:val="0"/>
        <w:snapToGrid w:val="0"/>
        <w:spacing w:before="90" w:after="60"/>
        <w:ind w:firstLine="564" w:firstLineChars="235"/>
        <w:rPr>
          <w:rFonts w:ascii="仿宋_GB2312" w:hAnsi="宋体" w:eastAsia="仿宋_GB2312" w:cs="仿宋_GB2312"/>
          <w:b/>
          <w:color w:val="auto"/>
          <w:sz w:val="24"/>
          <w:szCs w:val="24"/>
          <w:highlight w:val="none"/>
        </w:rPr>
      </w:pPr>
      <w:r>
        <w:rPr>
          <w:rFonts w:hint="eastAsia" w:ascii="仿宋_GB2312" w:hAnsi="宋体" w:eastAsia="仿宋_GB2312" w:cs="仿宋_GB2312"/>
          <w:color w:val="auto"/>
          <w:sz w:val="24"/>
          <w:szCs w:val="24"/>
          <w:highlight w:val="none"/>
        </w:rPr>
        <w:t>1、本合同项下厂房租赁期</w:t>
      </w:r>
      <w:r>
        <w:rPr>
          <w:rFonts w:hint="eastAsia" w:ascii="仿宋_GB2312" w:hAnsi="宋体" w:eastAsia="仿宋_GB2312" w:cs="仿宋_GB2312"/>
          <w:color w:val="auto"/>
          <w:sz w:val="24"/>
          <w:szCs w:val="24"/>
          <w:highlight w:val="none"/>
          <w:u w:val="single"/>
        </w:rPr>
        <w:t xml:space="preserve">    </w:t>
      </w:r>
      <w:r>
        <w:rPr>
          <w:rFonts w:hint="eastAsia" w:ascii="仿宋_GB2312" w:hAnsi="宋体" w:eastAsia="仿宋_GB2312" w:cs="仿宋_GB2312"/>
          <w:color w:val="auto"/>
          <w:sz w:val="24"/>
          <w:szCs w:val="24"/>
          <w:highlight w:val="none"/>
        </w:rPr>
        <w:t>年。自</w:t>
      </w:r>
      <w:r>
        <w:rPr>
          <w:rFonts w:hint="eastAsia" w:ascii="仿宋_GB2312" w:hAnsi="宋体" w:eastAsia="仿宋_GB2312" w:cs="仿宋_GB2312"/>
          <w:color w:val="auto"/>
          <w:sz w:val="24"/>
          <w:szCs w:val="24"/>
          <w:highlight w:val="none"/>
          <w:u w:val="single"/>
        </w:rPr>
        <w:t xml:space="preserve">     </w:t>
      </w:r>
      <w:r>
        <w:rPr>
          <w:rFonts w:hint="eastAsia" w:ascii="仿宋_GB2312" w:hAnsi="宋体" w:eastAsia="仿宋_GB2312" w:cs="仿宋_GB2312"/>
          <w:color w:val="auto"/>
          <w:sz w:val="24"/>
          <w:szCs w:val="24"/>
          <w:highlight w:val="none"/>
        </w:rPr>
        <w:t>年</w:t>
      </w:r>
      <w:r>
        <w:rPr>
          <w:rFonts w:hint="eastAsia" w:ascii="仿宋_GB2312" w:hAnsi="宋体" w:eastAsia="仿宋_GB2312" w:cs="仿宋_GB2312"/>
          <w:color w:val="auto"/>
          <w:sz w:val="24"/>
          <w:szCs w:val="24"/>
          <w:highlight w:val="none"/>
          <w:u w:val="single"/>
        </w:rPr>
        <w:t xml:space="preserve">    </w:t>
      </w:r>
      <w:r>
        <w:rPr>
          <w:rFonts w:hint="eastAsia" w:ascii="仿宋_GB2312" w:hAnsi="宋体" w:eastAsia="仿宋_GB2312" w:cs="仿宋_GB2312"/>
          <w:color w:val="auto"/>
          <w:sz w:val="24"/>
          <w:szCs w:val="24"/>
          <w:highlight w:val="none"/>
        </w:rPr>
        <w:t>月</w:t>
      </w:r>
      <w:r>
        <w:rPr>
          <w:rFonts w:hint="eastAsia" w:ascii="仿宋_GB2312" w:hAnsi="宋体" w:eastAsia="仿宋_GB2312" w:cs="仿宋_GB2312"/>
          <w:color w:val="auto"/>
          <w:sz w:val="24"/>
          <w:szCs w:val="24"/>
          <w:highlight w:val="none"/>
          <w:u w:val="single"/>
        </w:rPr>
        <w:t xml:space="preserve">  </w:t>
      </w:r>
      <w:r>
        <w:rPr>
          <w:rFonts w:hint="eastAsia" w:ascii="仿宋_GB2312" w:hAnsi="宋体" w:eastAsia="仿宋_GB2312" w:cs="仿宋_GB2312"/>
          <w:color w:val="auto"/>
          <w:sz w:val="24"/>
          <w:szCs w:val="24"/>
          <w:highlight w:val="none"/>
        </w:rPr>
        <w:t>日起至</w:t>
      </w:r>
      <w:r>
        <w:rPr>
          <w:rFonts w:hint="eastAsia" w:ascii="仿宋_GB2312" w:hAnsi="宋体" w:eastAsia="仿宋_GB2312" w:cs="仿宋_GB2312"/>
          <w:color w:val="auto"/>
          <w:sz w:val="24"/>
          <w:szCs w:val="24"/>
          <w:highlight w:val="none"/>
          <w:u w:val="single"/>
        </w:rPr>
        <w:t xml:space="preserve">   </w:t>
      </w:r>
      <w:r>
        <w:rPr>
          <w:rFonts w:hint="eastAsia" w:ascii="仿宋_GB2312" w:hAnsi="宋体" w:eastAsia="仿宋_GB2312" w:cs="仿宋_GB2312"/>
          <w:color w:val="auto"/>
          <w:sz w:val="24"/>
          <w:szCs w:val="24"/>
          <w:highlight w:val="none"/>
        </w:rPr>
        <w:t>年</w:t>
      </w:r>
      <w:r>
        <w:rPr>
          <w:rFonts w:hint="eastAsia" w:ascii="仿宋_GB2312" w:hAnsi="宋体" w:eastAsia="仿宋_GB2312" w:cs="仿宋_GB2312"/>
          <w:color w:val="auto"/>
          <w:sz w:val="24"/>
          <w:szCs w:val="24"/>
          <w:highlight w:val="none"/>
          <w:u w:val="single"/>
        </w:rPr>
        <w:t xml:space="preserve">  </w:t>
      </w:r>
      <w:r>
        <w:rPr>
          <w:rFonts w:hint="eastAsia" w:ascii="仿宋_GB2312" w:hAnsi="宋体" w:eastAsia="仿宋_GB2312" w:cs="仿宋_GB2312"/>
          <w:color w:val="auto"/>
          <w:sz w:val="24"/>
          <w:szCs w:val="24"/>
          <w:highlight w:val="none"/>
        </w:rPr>
        <w:t>月</w:t>
      </w:r>
      <w:r>
        <w:rPr>
          <w:rFonts w:hint="eastAsia" w:ascii="仿宋_GB2312" w:hAnsi="宋体" w:eastAsia="仿宋_GB2312" w:cs="仿宋_GB2312"/>
          <w:color w:val="auto"/>
          <w:sz w:val="24"/>
          <w:szCs w:val="24"/>
          <w:highlight w:val="none"/>
          <w:u w:val="single"/>
        </w:rPr>
        <w:t xml:space="preserve">   </w:t>
      </w:r>
      <w:r>
        <w:rPr>
          <w:rFonts w:hint="eastAsia" w:ascii="仿宋_GB2312" w:hAnsi="宋体" w:eastAsia="仿宋_GB2312" w:cs="仿宋_GB2312"/>
          <w:color w:val="auto"/>
          <w:sz w:val="24"/>
          <w:szCs w:val="24"/>
          <w:highlight w:val="none"/>
        </w:rPr>
        <w:t>日止。</w:t>
      </w:r>
      <w:r>
        <w:rPr>
          <w:rFonts w:hint="eastAsia" w:ascii="仿宋_GB2312" w:hAnsi="宋体" w:eastAsia="仿宋_GB2312" w:cs="仿宋_GB2312"/>
          <w:color w:val="auto"/>
          <w:sz w:val="24"/>
          <w:szCs w:val="24"/>
          <w:highlight w:val="none"/>
        </w:rPr>
        <w:t>（厂房交付日期暂定为</w:t>
      </w:r>
      <w:r>
        <w:rPr>
          <w:rFonts w:hint="eastAsia" w:ascii="仿宋_GB2312" w:hAnsi="宋体" w:eastAsia="仿宋_GB2312" w:cs="仿宋_GB2312"/>
          <w:color w:val="auto"/>
          <w:sz w:val="24"/>
          <w:szCs w:val="24"/>
          <w:highlight w:val="none"/>
          <w:u w:val="single"/>
        </w:rPr>
        <w:t xml:space="preserve">    </w:t>
      </w:r>
      <w:r>
        <w:rPr>
          <w:rFonts w:hint="eastAsia" w:ascii="仿宋_GB2312" w:hAnsi="宋体" w:eastAsia="仿宋_GB2312" w:cs="仿宋_GB2312"/>
          <w:color w:val="auto"/>
          <w:sz w:val="24"/>
          <w:szCs w:val="24"/>
          <w:highlight w:val="none"/>
        </w:rPr>
        <w:t xml:space="preserve"> 年</w:t>
      </w:r>
      <w:r>
        <w:rPr>
          <w:rFonts w:hint="eastAsia" w:ascii="仿宋_GB2312" w:hAnsi="宋体" w:eastAsia="仿宋_GB2312" w:cs="仿宋_GB2312"/>
          <w:bCs/>
          <w:color w:val="auto"/>
          <w:sz w:val="24"/>
          <w:szCs w:val="24"/>
          <w:highlight w:val="none"/>
          <w:u w:val="single"/>
        </w:rPr>
        <w:t xml:space="preserve">   </w:t>
      </w:r>
      <w:r>
        <w:rPr>
          <w:rFonts w:hint="eastAsia" w:ascii="仿宋_GB2312" w:hAnsi="宋体" w:eastAsia="仿宋_GB2312" w:cs="仿宋_GB2312"/>
          <w:color w:val="auto"/>
          <w:sz w:val="24"/>
          <w:szCs w:val="24"/>
          <w:highlight w:val="none"/>
        </w:rPr>
        <w:t>月</w:t>
      </w:r>
      <w:r>
        <w:rPr>
          <w:rFonts w:hint="eastAsia" w:ascii="仿宋_GB2312" w:hAnsi="宋体" w:eastAsia="仿宋_GB2312" w:cs="仿宋_GB2312"/>
          <w:color w:val="auto"/>
          <w:sz w:val="24"/>
          <w:szCs w:val="24"/>
          <w:highlight w:val="none"/>
          <w:u w:val="single"/>
        </w:rPr>
        <w:t xml:space="preserve">    </w:t>
      </w:r>
      <w:r>
        <w:rPr>
          <w:rFonts w:hint="eastAsia" w:ascii="仿宋_GB2312" w:hAnsi="宋体" w:eastAsia="仿宋_GB2312" w:cs="仿宋_GB2312"/>
          <w:color w:val="auto"/>
          <w:sz w:val="24"/>
          <w:szCs w:val="24"/>
          <w:highlight w:val="none"/>
        </w:rPr>
        <w:t>日，厂房实际交付日期以甲方发出的《交房通知书》载明日期为准），合同期满即行终止。</w:t>
      </w:r>
    </w:p>
    <w:p w14:paraId="7C839C8C">
      <w:pPr>
        <w:adjustRightInd w:val="0"/>
        <w:snapToGrid w:val="0"/>
        <w:spacing w:before="90" w:after="60"/>
        <w:ind w:firstLine="564" w:firstLineChars="235"/>
        <w:rPr>
          <w:rFonts w:ascii="仿宋_GB2312" w:hAnsi="宋体" w:eastAsia="仿宋_GB2312" w:cs="仿宋_GB2312"/>
          <w:color w:val="auto"/>
          <w:sz w:val="24"/>
          <w:szCs w:val="24"/>
          <w:highlight w:val="none"/>
        </w:rPr>
      </w:pPr>
      <w:r>
        <w:rPr>
          <w:rFonts w:hint="eastAsia" w:ascii="仿宋_GB2312" w:hAnsi="宋体" w:eastAsia="仿宋_GB2312" w:cs="仿宋_GB2312"/>
          <w:color w:val="auto"/>
          <w:sz w:val="24"/>
          <w:szCs w:val="24"/>
          <w:highlight w:val="none"/>
        </w:rPr>
        <w:t>如果在本合同暂定的房屋交付日起90日内，甲方未能交付该房屋，则甲方对此不承担任何违约责任。但如果甲方交付房屋超过90日，则乙方有权终止本合同，甲方除全额退还乙方履约保证金（不计利息）以及预付租金（不计利息）外，不承担任何责任。（选择性条款，适用于：非空置房、非原租户续租合同）</w:t>
      </w:r>
    </w:p>
    <w:p w14:paraId="11736BB5">
      <w:pPr>
        <w:adjustRightInd w:val="0"/>
        <w:snapToGrid w:val="0"/>
        <w:spacing w:before="90" w:after="60"/>
        <w:ind w:firstLine="480" w:firstLineChars="200"/>
        <w:rPr>
          <w:rFonts w:ascii="仿宋_GB2312" w:hAnsi="宋体" w:eastAsia="仿宋_GB2312" w:cs="仿宋_GB2312"/>
          <w:color w:val="auto"/>
          <w:sz w:val="24"/>
          <w:szCs w:val="24"/>
          <w:highlight w:val="none"/>
        </w:rPr>
      </w:pPr>
      <w:r>
        <w:rPr>
          <w:rFonts w:hint="eastAsia" w:ascii="仿宋_GB2312" w:hAnsi="宋体" w:eastAsia="仿宋_GB2312" w:cs="仿宋_GB2312"/>
          <w:color w:val="auto"/>
          <w:sz w:val="24"/>
          <w:szCs w:val="24"/>
          <w:highlight w:val="none"/>
        </w:rPr>
        <w:t>2、若厂房实际交付日期与本合同暂定的交付日期不一致，甲乙双方应另行签订补充协议，确定厂房租赁期间及租金计收表。</w:t>
      </w:r>
    </w:p>
    <w:p w14:paraId="22E70863">
      <w:pPr>
        <w:adjustRightInd w:val="0"/>
        <w:snapToGrid w:val="0"/>
        <w:spacing w:before="90" w:after="60"/>
        <w:ind w:firstLine="482" w:firstLineChars="200"/>
        <w:rPr>
          <w:rFonts w:ascii="仿宋_GB2312" w:hAnsi="宋体" w:eastAsia="仿宋_GB2312" w:cs="仿宋_GB2312"/>
          <w:b/>
          <w:bCs/>
          <w:color w:val="auto"/>
          <w:sz w:val="24"/>
          <w:szCs w:val="24"/>
          <w:highlight w:val="none"/>
        </w:rPr>
      </w:pPr>
      <w:r>
        <w:rPr>
          <w:rFonts w:hint="eastAsia" w:ascii="仿宋_GB2312" w:hAnsi="宋体" w:eastAsia="仿宋_GB2312" w:cs="仿宋_GB2312"/>
          <w:b/>
          <w:bCs/>
          <w:color w:val="auto"/>
          <w:sz w:val="24"/>
          <w:szCs w:val="24"/>
          <w:highlight w:val="none"/>
        </w:rPr>
        <w:t>第三条 租金</w:t>
      </w:r>
    </w:p>
    <w:p w14:paraId="104D45E6">
      <w:pPr>
        <w:spacing w:before="90" w:after="60"/>
        <w:ind w:firstLine="480" w:firstLineChars="200"/>
        <w:rPr>
          <w:rFonts w:ascii="仿宋_GB2312" w:hAnsi="宋体" w:eastAsia="仿宋_GB2312" w:cs="仿宋_GB2312"/>
          <w:color w:val="auto"/>
          <w:sz w:val="24"/>
          <w:szCs w:val="24"/>
          <w:highlight w:val="none"/>
        </w:rPr>
      </w:pPr>
      <w:r>
        <w:rPr>
          <w:rFonts w:ascii="仿宋_GB2312" w:hAnsi="宋体" w:eastAsia="仿宋_GB2312" w:cs="仿宋_GB2312"/>
          <w:color w:val="auto"/>
          <w:sz w:val="24"/>
          <w:szCs w:val="24"/>
          <w:highlight w:val="none"/>
        </w:rPr>
        <w:t>1</w:t>
      </w:r>
      <w:r>
        <w:rPr>
          <w:rFonts w:hint="eastAsia" w:ascii="仿宋_GB2312" w:hAnsi="宋体" w:eastAsia="仿宋_GB2312" w:cs="仿宋_GB2312"/>
          <w:color w:val="auto"/>
          <w:sz w:val="24"/>
          <w:szCs w:val="24"/>
          <w:highlight w:val="none"/>
        </w:rPr>
        <w:t>、乙方承租期间，前</w:t>
      </w:r>
      <w:r>
        <w:rPr>
          <w:rFonts w:hint="eastAsia" w:ascii="仿宋_GB2312" w:hAnsi="宋体" w:eastAsia="仿宋_GB2312" w:cs="仿宋_GB2312"/>
          <w:color w:val="auto"/>
          <w:sz w:val="24"/>
          <w:szCs w:val="24"/>
          <w:highlight w:val="none"/>
          <w:u w:val="single"/>
        </w:rPr>
        <w:t xml:space="preserve">   </w:t>
      </w:r>
      <w:r>
        <w:rPr>
          <w:rFonts w:hint="eastAsia" w:ascii="仿宋_GB2312" w:hAnsi="宋体" w:eastAsia="仿宋_GB2312" w:cs="仿宋_GB2312"/>
          <w:color w:val="auto"/>
          <w:sz w:val="24"/>
          <w:szCs w:val="24"/>
          <w:highlight w:val="none"/>
        </w:rPr>
        <w:t>年租金标准为</w:t>
      </w:r>
      <w:r>
        <w:rPr>
          <w:rFonts w:ascii="仿宋_GB2312" w:hAnsi="宋体" w:eastAsia="仿宋_GB2312" w:cs="仿宋_GB2312"/>
          <w:color w:val="auto"/>
          <w:sz w:val="24"/>
          <w:szCs w:val="24"/>
          <w:highlight w:val="none"/>
          <w:u w:val="single"/>
        </w:rPr>
        <w:t xml:space="preserve">    </w:t>
      </w:r>
      <w:r>
        <w:rPr>
          <w:rFonts w:hint="eastAsia" w:ascii="仿宋_GB2312" w:hAnsi="宋体" w:eastAsia="仿宋_GB2312" w:cs="仿宋_GB2312"/>
          <w:color w:val="auto"/>
          <w:sz w:val="24"/>
          <w:szCs w:val="24"/>
          <w:highlight w:val="none"/>
        </w:rPr>
        <w:t>元</w:t>
      </w:r>
      <w:r>
        <w:rPr>
          <w:rFonts w:ascii="仿宋_GB2312" w:hAnsi="宋体" w:eastAsia="仿宋_GB2312" w:cs="仿宋_GB2312"/>
          <w:color w:val="auto"/>
          <w:sz w:val="24"/>
          <w:szCs w:val="24"/>
          <w:highlight w:val="none"/>
        </w:rPr>
        <w:t>/</w:t>
      </w:r>
      <w:r>
        <w:rPr>
          <w:rFonts w:hint="eastAsia" w:ascii="仿宋_GB2312" w:hAnsi="宋体" w:eastAsia="仿宋_GB2312" w:cs="仿宋_GB2312"/>
          <w:color w:val="auto"/>
          <w:sz w:val="24"/>
          <w:szCs w:val="24"/>
          <w:highlight w:val="none"/>
        </w:rPr>
        <w:t>月（人民币，下同）。第</w:t>
      </w:r>
      <w:r>
        <w:rPr>
          <w:rFonts w:hint="eastAsia" w:ascii="仿宋_GB2312" w:hAnsi="宋体" w:eastAsia="仿宋_GB2312" w:cs="仿宋_GB2312"/>
          <w:color w:val="auto"/>
          <w:sz w:val="24"/>
          <w:szCs w:val="24"/>
          <w:highlight w:val="none"/>
          <w:u w:val="single"/>
        </w:rPr>
        <w:t xml:space="preserve">  </w:t>
      </w:r>
      <w:r>
        <w:rPr>
          <w:rFonts w:hint="eastAsia" w:ascii="仿宋_GB2312" w:hAnsi="宋体" w:eastAsia="仿宋_GB2312" w:cs="仿宋_GB2312"/>
          <w:color w:val="auto"/>
          <w:sz w:val="24"/>
          <w:szCs w:val="24"/>
          <w:highlight w:val="none"/>
        </w:rPr>
        <w:t>年起每年租金递增</w:t>
      </w:r>
      <w:r>
        <w:rPr>
          <w:rFonts w:hint="eastAsia" w:ascii="仿宋_GB2312" w:hAnsi="宋体" w:eastAsia="仿宋_GB2312" w:cs="仿宋_GB2312"/>
          <w:color w:val="auto"/>
          <w:sz w:val="24"/>
          <w:szCs w:val="24"/>
          <w:highlight w:val="none"/>
          <w:u w:val="single"/>
        </w:rPr>
        <w:t xml:space="preserve">   </w:t>
      </w:r>
      <w:r>
        <w:rPr>
          <w:rFonts w:ascii="仿宋_GB2312" w:hAnsi="宋体" w:eastAsia="仿宋_GB2312" w:cs="仿宋_GB2312"/>
          <w:color w:val="auto"/>
          <w:sz w:val="24"/>
          <w:szCs w:val="24"/>
          <w:highlight w:val="none"/>
        </w:rPr>
        <w:t>%</w:t>
      </w:r>
      <w:r>
        <w:rPr>
          <w:rFonts w:hint="eastAsia" w:ascii="仿宋_GB2312" w:hAnsi="宋体" w:eastAsia="仿宋_GB2312" w:cs="仿宋_GB2312"/>
          <w:color w:val="auto"/>
          <w:sz w:val="24"/>
          <w:szCs w:val="24"/>
          <w:highlight w:val="none"/>
        </w:rPr>
        <w:t>。（选择性条款）。</w:t>
      </w:r>
    </w:p>
    <w:tbl>
      <w:tblPr>
        <w:tblStyle w:val="15"/>
        <w:tblW w:w="9066" w:type="dxa"/>
        <w:tblInd w:w="114" w:type="dxa"/>
        <w:tblLayout w:type="fixed"/>
        <w:tblCellMar>
          <w:top w:w="0" w:type="dxa"/>
          <w:left w:w="108" w:type="dxa"/>
          <w:bottom w:w="0" w:type="dxa"/>
          <w:right w:w="108" w:type="dxa"/>
        </w:tblCellMar>
      </w:tblPr>
      <w:tblGrid>
        <w:gridCol w:w="1695"/>
        <w:gridCol w:w="4111"/>
        <w:gridCol w:w="1843"/>
        <w:gridCol w:w="1417"/>
      </w:tblGrid>
      <w:tr w14:paraId="729D95DC">
        <w:tblPrEx>
          <w:tblCellMar>
            <w:top w:w="0" w:type="dxa"/>
            <w:left w:w="108" w:type="dxa"/>
            <w:bottom w:w="0" w:type="dxa"/>
            <w:right w:w="108" w:type="dxa"/>
          </w:tblCellMar>
        </w:tblPrEx>
        <w:trPr>
          <w:trHeight w:val="525" w:hRule="atLeast"/>
        </w:trPr>
        <w:tc>
          <w:tcPr>
            <w:tcW w:w="9066" w:type="dxa"/>
            <w:gridSpan w:val="4"/>
            <w:tcBorders>
              <w:top w:val="single" w:color="000000" w:sz="8" w:space="0"/>
              <w:left w:val="single" w:color="auto" w:sz="8" w:space="0"/>
              <w:bottom w:val="single" w:color="000000" w:sz="8" w:space="0"/>
              <w:right w:val="single" w:color="000000" w:sz="8" w:space="0"/>
            </w:tcBorders>
            <w:vAlign w:val="center"/>
          </w:tcPr>
          <w:p w14:paraId="3907CA81">
            <w:pPr>
              <w:widowControl/>
              <w:spacing w:before="90" w:after="60" w:line="400" w:lineRule="exact"/>
              <w:jc w:val="center"/>
              <w:rPr>
                <w:rFonts w:ascii="仿宋_GB2312" w:hAnsi="宋体" w:eastAsia="仿宋_GB2312" w:cs="宋体"/>
                <w:color w:val="auto"/>
                <w:kern w:val="0"/>
                <w:szCs w:val="21"/>
                <w:highlight w:val="none"/>
              </w:rPr>
            </w:pPr>
            <w:r>
              <w:rPr>
                <w:rFonts w:hint="eastAsia" w:ascii="仿宋_GB2312" w:hAnsi="宋体" w:eastAsia="仿宋_GB2312" w:cs="宋体"/>
                <w:b/>
                <w:bCs/>
                <w:color w:val="auto"/>
                <w:kern w:val="0"/>
                <w:sz w:val="24"/>
                <w:szCs w:val="24"/>
                <w:highlight w:val="none"/>
              </w:rPr>
              <w:t>租金计收表</w:t>
            </w:r>
          </w:p>
        </w:tc>
      </w:tr>
      <w:tr w14:paraId="3A3551B0">
        <w:tblPrEx>
          <w:tblCellMar>
            <w:top w:w="0" w:type="dxa"/>
            <w:left w:w="108" w:type="dxa"/>
            <w:bottom w:w="0" w:type="dxa"/>
            <w:right w:w="108" w:type="dxa"/>
          </w:tblCellMar>
        </w:tblPrEx>
        <w:trPr>
          <w:trHeight w:val="525" w:hRule="atLeast"/>
        </w:trPr>
        <w:tc>
          <w:tcPr>
            <w:tcW w:w="1695" w:type="dxa"/>
            <w:vMerge w:val="restart"/>
            <w:tcBorders>
              <w:top w:val="nil"/>
              <w:left w:val="single" w:color="auto" w:sz="8" w:space="0"/>
              <w:bottom w:val="single" w:color="000000" w:sz="8" w:space="0"/>
              <w:right w:val="single" w:color="auto" w:sz="8" w:space="0"/>
            </w:tcBorders>
            <w:vAlign w:val="center"/>
          </w:tcPr>
          <w:p w14:paraId="40F0A73F">
            <w:pPr>
              <w:widowControl/>
              <w:spacing w:before="90" w:after="60" w:line="280" w:lineRule="exac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序号</w:t>
            </w:r>
          </w:p>
        </w:tc>
        <w:tc>
          <w:tcPr>
            <w:tcW w:w="4111" w:type="dxa"/>
            <w:tcBorders>
              <w:top w:val="nil"/>
              <w:left w:val="nil"/>
              <w:bottom w:val="nil"/>
              <w:right w:val="single" w:color="auto" w:sz="8" w:space="0"/>
            </w:tcBorders>
            <w:vAlign w:val="center"/>
          </w:tcPr>
          <w:p w14:paraId="3123FD1A">
            <w:pPr>
              <w:widowControl/>
              <w:spacing w:before="90" w:after="60" w:line="280" w:lineRule="exac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计算租金期限</w:t>
            </w:r>
          </w:p>
        </w:tc>
        <w:tc>
          <w:tcPr>
            <w:tcW w:w="3260" w:type="dxa"/>
            <w:gridSpan w:val="2"/>
            <w:vMerge w:val="restart"/>
            <w:tcBorders>
              <w:top w:val="single" w:color="auto" w:sz="8" w:space="0"/>
              <w:left w:val="single" w:color="auto" w:sz="8" w:space="0"/>
              <w:right w:val="single" w:color="000000" w:sz="8" w:space="0"/>
            </w:tcBorders>
            <w:vAlign w:val="center"/>
          </w:tcPr>
          <w:p w14:paraId="3F5A5D14">
            <w:pPr>
              <w:widowControl/>
              <w:spacing w:before="90" w:after="60" w:line="280" w:lineRule="exac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租金（元）</w:t>
            </w:r>
          </w:p>
        </w:tc>
      </w:tr>
      <w:tr w14:paraId="5D386DAA">
        <w:tblPrEx>
          <w:tblCellMar>
            <w:top w:w="0" w:type="dxa"/>
            <w:left w:w="108" w:type="dxa"/>
            <w:bottom w:w="0" w:type="dxa"/>
            <w:right w:w="108" w:type="dxa"/>
          </w:tblCellMar>
        </w:tblPrEx>
        <w:trPr>
          <w:trHeight w:val="257" w:hRule="atLeast"/>
        </w:trPr>
        <w:tc>
          <w:tcPr>
            <w:tcW w:w="1695" w:type="dxa"/>
            <w:vMerge w:val="continue"/>
            <w:tcBorders>
              <w:top w:val="nil"/>
              <w:left w:val="single" w:color="auto" w:sz="8" w:space="0"/>
              <w:bottom w:val="single" w:color="000000" w:sz="8" w:space="0"/>
              <w:right w:val="single" w:color="auto" w:sz="8" w:space="0"/>
            </w:tcBorders>
            <w:vAlign w:val="center"/>
          </w:tcPr>
          <w:p w14:paraId="54C7C214">
            <w:pPr>
              <w:widowControl/>
              <w:spacing w:before="90" w:after="60" w:line="280" w:lineRule="exact"/>
              <w:jc w:val="center"/>
              <w:rPr>
                <w:rFonts w:ascii="仿宋_GB2312" w:hAnsi="宋体" w:eastAsia="仿宋_GB2312" w:cs="宋体"/>
                <w:color w:val="auto"/>
                <w:kern w:val="0"/>
                <w:szCs w:val="21"/>
                <w:highlight w:val="none"/>
              </w:rPr>
            </w:pPr>
          </w:p>
        </w:tc>
        <w:tc>
          <w:tcPr>
            <w:tcW w:w="4111" w:type="dxa"/>
            <w:tcBorders>
              <w:top w:val="nil"/>
              <w:left w:val="nil"/>
              <w:bottom w:val="single" w:color="auto" w:sz="8" w:space="0"/>
              <w:right w:val="single" w:color="auto" w:sz="8" w:space="0"/>
            </w:tcBorders>
            <w:vAlign w:val="center"/>
          </w:tcPr>
          <w:p w14:paraId="7B327C51">
            <w:pPr>
              <w:widowControl/>
              <w:spacing w:before="90" w:after="60" w:line="280" w:lineRule="exac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（以 年 月 日交房计算）</w:t>
            </w:r>
          </w:p>
        </w:tc>
        <w:tc>
          <w:tcPr>
            <w:tcW w:w="3260" w:type="dxa"/>
            <w:gridSpan w:val="2"/>
            <w:vMerge w:val="continue"/>
            <w:tcBorders>
              <w:left w:val="single" w:color="auto" w:sz="8" w:space="0"/>
              <w:bottom w:val="single" w:color="auto" w:sz="8" w:space="0"/>
              <w:right w:val="single" w:color="000000" w:sz="8" w:space="0"/>
            </w:tcBorders>
            <w:vAlign w:val="center"/>
          </w:tcPr>
          <w:p w14:paraId="6D09F592">
            <w:pPr>
              <w:widowControl/>
              <w:spacing w:before="90" w:after="60" w:line="280" w:lineRule="exact"/>
              <w:jc w:val="center"/>
              <w:rPr>
                <w:rFonts w:ascii="仿宋_GB2312" w:hAnsi="宋体" w:eastAsia="仿宋_GB2312" w:cs="宋体"/>
                <w:color w:val="auto"/>
                <w:kern w:val="0"/>
                <w:szCs w:val="21"/>
                <w:highlight w:val="none"/>
              </w:rPr>
            </w:pPr>
          </w:p>
        </w:tc>
      </w:tr>
      <w:tr w14:paraId="15B596FE">
        <w:tblPrEx>
          <w:tblCellMar>
            <w:top w:w="0" w:type="dxa"/>
            <w:left w:w="108" w:type="dxa"/>
            <w:bottom w:w="0" w:type="dxa"/>
            <w:right w:w="108" w:type="dxa"/>
          </w:tblCellMar>
        </w:tblPrEx>
        <w:trPr>
          <w:trHeight w:val="302" w:hRule="atLeast"/>
        </w:trPr>
        <w:tc>
          <w:tcPr>
            <w:tcW w:w="1695" w:type="dxa"/>
            <w:tcBorders>
              <w:top w:val="nil"/>
              <w:left w:val="single" w:color="auto" w:sz="8" w:space="0"/>
              <w:bottom w:val="single" w:color="auto" w:sz="8" w:space="0"/>
              <w:right w:val="single" w:color="auto" w:sz="8" w:space="0"/>
            </w:tcBorders>
            <w:vAlign w:val="center"/>
          </w:tcPr>
          <w:p w14:paraId="74F8742C">
            <w:pPr>
              <w:widowControl/>
              <w:spacing w:before="90" w:after="60" w:line="280" w:lineRule="exac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首期（含租金优惠期）</w:t>
            </w:r>
            <w:r>
              <w:rPr>
                <w:rFonts w:hint="eastAsia" w:ascii="仿宋_GB2312" w:hAnsi="宋体" w:eastAsia="仿宋_GB2312" w:cs="仿宋_GB2312"/>
                <w:color w:val="auto"/>
                <w:sz w:val="24"/>
                <w:szCs w:val="24"/>
                <w:highlight w:val="none"/>
              </w:rPr>
              <w:t>（选择性条款）</w:t>
            </w:r>
            <w:r>
              <w:rPr>
                <w:rFonts w:hint="eastAsia" w:ascii="仿宋_GB2312" w:hAnsi="宋体" w:eastAsia="仿宋_GB2312" w:cs="宋体"/>
                <w:color w:val="auto"/>
                <w:kern w:val="0"/>
                <w:szCs w:val="21"/>
                <w:highlight w:val="none"/>
              </w:rPr>
              <w:t>租金</w:t>
            </w:r>
          </w:p>
        </w:tc>
        <w:tc>
          <w:tcPr>
            <w:tcW w:w="4111" w:type="dxa"/>
            <w:tcBorders>
              <w:top w:val="nil"/>
              <w:left w:val="nil"/>
              <w:bottom w:val="single" w:color="auto" w:sz="8" w:space="0"/>
              <w:right w:val="single" w:color="auto" w:sz="8" w:space="0"/>
            </w:tcBorders>
            <w:vAlign w:val="center"/>
          </w:tcPr>
          <w:p w14:paraId="460676B2">
            <w:pPr>
              <w:widowControl/>
              <w:spacing w:before="90" w:after="60" w:line="280" w:lineRule="exact"/>
              <w:jc w:val="center"/>
              <w:rPr>
                <w:rFonts w:ascii="仿宋_GB2312" w:hAnsi="宋体" w:eastAsia="仿宋_GB2312" w:cs="宋体"/>
                <w:color w:val="auto"/>
                <w:kern w:val="0"/>
                <w:szCs w:val="21"/>
                <w:highlight w:val="none"/>
                <w:u w:val="single"/>
              </w:rPr>
            </w:pPr>
            <w:r>
              <w:rPr>
                <w:rFonts w:hint="eastAsia" w:ascii="仿宋_GB2312" w:hAnsi="宋体" w:eastAsia="仿宋_GB2312" w:cs="宋体"/>
                <w:color w:val="auto"/>
                <w:kern w:val="0"/>
                <w:szCs w:val="21"/>
                <w:highlight w:val="none"/>
                <w:u w:val="single"/>
              </w:rPr>
              <w:t xml:space="preserve">      </w:t>
            </w:r>
            <w:r>
              <w:rPr>
                <w:rFonts w:hint="eastAsia" w:ascii="仿宋_GB2312" w:hAnsi="宋体" w:eastAsia="仿宋_GB2312" w:cs="宋体"/>
                <w:color w:val="auto"/>
                <w:kern w:val="0"/>
                <w:szCs w:val="21"/>
                <w:highlight w:val="none"/>
              </w:rPr>
              <w:t>年</w:t>
            </w:r>
            <w:r>
              <w:rPr>
                <w:rFonts w:hint="eastAsia" w:ascii="仿宋_GB2312" w:hAnsi="宋体" w:eastAsia="仿宋_GB2312" w:cs="宋体"/>
                <w:color w:val="auto"/>
                <w:kern w:val="0"/>
                <w:szCs w:val="21"/>
                <w:highlight w:val="none"/>
                <w:u w:val="single"/>
              </w:rPr>
              <w:t xml:space="preserve">  </w:t>
            </w:r>
            <w:r>
              <w:rPr>
                <w:rFonts w:hint="eastAsia" w:ascii="仿宋_GB2312" w:hAnsi="宋体" w:eastAsia="仿宋_GB2312" w:cs="宋体"/>
                <w:color w:val="auto"/>
                <w:kern w:val="0"/>
                <w:szCs w:val="21"/>
                <w:highlight w:val="none"/>
              </w:rPr>
              <w:t>月</w:t>
            </w:r>
            <w:r>
              <w:rPr>
                <w:rFonts w:hint="eastAsia" w:ascii="仿宋_GB2312" w:hAnsi="宋体" w:eastAsia="仿宋_GB2312" w:cs="宋体"/>
                <w:color w:val="auto"/>
                <w:kern w:val="0"/>
                <w:szCs w:val="21"/>
                <w:highlight w:val="none"/>
                <w:u w:val="single"/>
              </w:rPr>
              <w:t xml:space="preserve">  </w:t>
            </w:r>
            <w:r>
              <w:rPr>
                <w:rFonts w:hint="eastAsia" w:ascii="仿宋_GB2312" w:hAnsi="宋体" w:eastAsia="仿宋_GB2312" w:cs="宋体"/>
                <w:color w:val="auto"/>
                <w:kern w:val="0"/>
                <w:szCs w:val="21"/>
                <w:highlight w:val="none"/>
              </w:rPr>
              <w:t>日至</w:t>
            </w:r>
            <w:r>
              <w:rPr>
                <w:rFonts w:hint="eastAsia" w:ascii="仿宋_GB2312" w:hAnsi="宋体" w:eastAsia="仿宋_GB2312" w:cs="宋体"/>
                <w:color w:val="auto"/>
                <w:kern w:val="0"/>
                <w:szCs w:val="21"/>
                <w:highlight w:val="none"/>
                <w:u w:val="single"/>
              </w:rPr>
              <w:t xml:space="preserve">      </w:t>
            </w:r>
            <w:r>
              <w:rPr>
                <w:rFonts w:hint="eastAsia" w:ascii="仿宋_GB2312" w:hAnsi="宋体" w:eastAsia="仿宋_GB2312" w:cs="宋体"/>
                <w:color w:val="auto"/>
                <w:kern w:val="0"/>
                <w:szCs w:val="21"/>
                <w:highlight w:val="none"/>
              </w:rPr>
              <w:t>年</w:t>
            </w:r>
            <w:r>
              <w:rPr>
                <w:rFonts w:hint="eastAsia" w:ascii="仿宋_GB2312" w:hAnsi="宋体" w:eastAsia="仿宋_GB2312" w:cs="宋体"/>
                <w:color w:val="auto"/>
                <w:kern w:val="0"/>
                <w:szCs w:val="21"/>
                <w:highlight w:val="none"/>
                <w:u w:val="single"/>
              </w:rPr>
              <w:t xml:space="preserve">  </w:t>
            </w:r>
            <w:r>
              <w:rPr>
                <w:rFonts w:hint="eastAsia" w:ascii="仿宋_GB2312" w:hAnsi="宋体" w:eastAsia="仿宋_GB2312" w:cs="宋体"/>
                <w:color w:val="auto"/>
                <w:kern w:val="0"/>
                <w:szCs w:val="21"/>
                <w:highlight w:val="none"/>
              </w:rPr>
              <w:t>月</w:t>
            </w:r>
            <w:r>
              <w:rPr>
                <w:rFonts w:hint="eastAsia" w:ascii="仿宋_GB2312" w:hAnsi="宋体" w:eastAsia="仿宋_GB2312" w:cs="宋体"/>
                <w:color w:val="auto"/>
                <w:kern w:val="0"/>
                <w:szCs w:val="21"/>
                <w:highlight w:val="none"/>
                <w:u w:val="single"/>
              </w:rPr>
              <w:t xml:space="preserve">  </w:t>
            </w:r>
            <w:r>
              <w:rPr>
                <w:rFonts w:hint="eastAsia" w:ascii="仿宋_GB2312" w:hAnsi="宋体" w:eastAsia="仿宋_GB2312" w:cs="宋体"/>
                <w:color w:val="auto"/>
                <w:kern w:val="0"/>
                <w:szCs w:val="21"/>
                <w:highlight w:val="none"/>
              </w:rPr>
              <w:t>日</w:t>
            </w:r>
          </w:p>
        </w:tc>
        <w:tc>
          <w:tcPr>
            <w:tcW w:w="3260" w:type="dxa"/>
            <w:gridSpan w:val="2"/>
            <w:tcBorders>
              <w:top w:val="single" w:color="auto" w:sz="8" w:space="0"/>
              <w:left w:val="nil"/>
              <w:bottom w:val="single" w:color="auto" w:sz="8" w:space="0"/>
              <w:right w:val="single" w:color="000000" w:sz="8" w:space="0"/>
            </w:tcBorders>
            <w:vAlign w:val="center"/>
          </w:tcPr>
          <w:p w14:paraId="6C3B3DF7">
            <w:pPr>
              <w:widowControl/>
              <w:spacing w:before="90" w:after="60" w:line="280" w:lineRule="exact"/>
              <w:jc w:val="center"/>
              <w:rPr>
                <w:rFonts w:ascii="仿宋_GB2312" w:hAnsi="宋体" w:eastAsia="仿宋_GB2312" w:cs="宋体"/>
                <w:color w:val="auto"/>
                <w:kern w:val="0"/>
                <w:szCs w:val="21"/>
                <w:highlight w:val="none"/>
              </w:rPr>
            </w:pPr>
          </w:p>
        </w:tc>
      </w:tr>
      <w:tr w14:paraId="7019C290">
        <w:tblPrEx>
          <w:tblCellMar>
            <w:top w:w="0" w:type="dxa"/>
            <w:left w:w="108" w:type="dxa"/>
            <w:bottom w:w="0" w:type="dxa"/>
            <w:right w:w="108" w:type="dxa"/>
          </w:tblCellMar>
        </w:tblPrEx>
        <w:trPr>
          <w:trHeight w:val="930" w:hRule="atLeast"/>
        </w:trPr>
        <w:tc>
          <w:tcPr>
            <w:tcW w:w="1695" w:type="dxa"/>
            <w:tcBorders>
              <w:top w:val="single" w:color="auto" w:sz="8" w:space="0"/>
              <w:left w:val="single" w:color="auto" w:sz="8" w:space="0"/>
              <w:bottom w:val="single" w:color="auto" w:sz="8" w:space="0"/>
              <w:right w:val="single" w:color="auto" w:sz="8" w:space="0"/>
            </w:tcBorders>
            <w:vAlign w:val="center"/>
          </w:tcPr>
          <w:p w14:paraId="19989E4B">
            <w:pPr>
              <w:widowControl/>
              <w:spacing w:before="90" w:after="60" w:line="280" w:lineRule="exac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序号</w:t>
            </w:r>
          </w:p>
        </w:tc>
        <w:tc>
          <w:tcPr>
            <w:tcW w:w="4111" w:type="dxa"/>
            <w:tcBorders>
              <w:top w:val="single" w:color="auto" w:sz="8" w:space="0"/>
              <w:left w:val="single" w:color="auto" w:sz="8" w:space="0"/>
              <w:bottom w:val="single" w:color="auto" w:sz="8" w:space="0"/>
              <w:right w:val="single" w:color="auto" w:sz="8" w:space="0"/>
            </w:tcBorders>
            <w:vAlign w:val="center"/>
          </w:tcPr>
          <w:p w14:paraId="42DC2636">
            <w:pPr>
              <w:widowControl/>
              <w:spacing w:before="90" w:after="60" w:line="280" w:lineRule="exac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计算租金期限</w:t>
            </w:r>
          </w:p>
          <w:p w14:paraId="466CD0FA">
            <w:pPr>
              <w:widowControl/>
              <w:spacing w:before="90" w:after="60" w:line="280" w:lineRule="exac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（以 年 月 日交房计算）</w:t>
            </w:r>
          </w:p>
        </w:tc>
        <w:tc>
          <w:tcPr>
            <w:tcW w:w="1843" w:type="dxa"/>
            <w:tcBorders>
              <w:top w:val="single" w:color="auto" w:sz="8" w:space="0"/>
              <w:left w:val="single" w:color="auto" w:sz="8" w:space="0"/>
              <w:bottom w:val="single" w:color="auto" w:sz="8" w:space="0"/>
              <w:right w:val="single" w:color="auto" w:sz="8" w:space="0"/>
            </w:tcBorders>
            <w:vAlign w:val="center"/>
          </w:tcPr>
          <w:p w14:paraId="1A16CD82">
            <w:pPr>
              <w:widowControl/>
              <w:spacing w:before="90" w:after="60" w:line="280" w:lineRule="exac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折合单价</w:t>
            </w:r>
          </w:p>
          <w:p w14:paraId="65699A0C">
            <w:pPr>
              <w:widowControl/>
              <w:spacing w:before="90" w:after="60" w:line="280" w:lineRule="exac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（元/平方米/月）</w:t>
            </w:r>
          </w:p>
        </w:tc>
        <w:tc>
          <w:tcPr>
            <w:tcW w:w="1417" w:type="dxa"/>
            <w:tcBorders>
              <w:top w:val="single" w:color="auto" w:sz="8" w:space="0"/>
              <w:left w:val="single" w:color="auto" w:sz="8" w:space="0"/>
              <w:bottom w:val="single" w:color="auto" w:sz="8" w:space="0"/>
              <w:right w:val="single" w:color="auto" w:sz="8" w:space="0"/>
            </w:tcBorders>
            <w:vAlign w:val="center"/>
          </w:tcPr>
          <w:p w14:paraId="7CA7F737">
            <w:pPr>
              <w:widowControl/>
              <w:spacing w:before="90" w:after="60" w:line="280" w:lineRule="exac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月租金（元）</w:t>
            </w:r>
          </w:p>
        </w:tc>
      </w:tr>
      <w:tr w14:paraId="661EE305">
        <w:tblPrEx>
          <w:tblCellMar>
            <w:top w:w="0" w:type="dxa"/>
            <w:left w:w="108" w:type="dxa"/>
            <w:bottom w:w="0" w:type="dxa"/>
            <w:right w:w="108" w:type="dxa"/>
          </w:tblCellMar>
        </w:tblPrEx>
        <w:trPr>
          <w:trHeight w:val="675" w:hRule="atLeast"/>
        </w:trPr>
        <w:tc>
          <w:tcPr>
            <w:tcW w:w="1695" w:type="dxa"/>
            <w:tcBorders>
              <w:top w:val="single" w:color="auto" w:sz="8" w:space="0"/>
              <w:left w:val="single" w:color="auto" w:sz="8" w:space="0"/>
              <w:bottom w:val="single" w:color="auto" w:sz="8" w:space="0"/>
              <w:right w:val="single" w:color="auto" w:sz="8" w:space="0"/>
            </w:tcBorders>
            <w:vAlign w:val="center"/>
          </w:tcPr>
          <w:p w14:paraId="75B99524">
            <w:pPr>
              <w:widowControl/>
              <w:spacing w:before="90" w:after="60" w:line="340" w:lineRule="exac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w:t>
            </w:r>
          </w:p>
        </w:tc>
        <w:tc>
          <w:tcPr>
            <w:tcW w:w="4111" w:type="dxa"/>
            <w:tcBorders>
              <w:top w:val="single" w:color="auto" w:sz="8" w:space="0"/>
              <w:left w:val="single" w:color="auto" w:sz="8" w:space="0"/>
              <w:bottom w:val="single" w:color="auto" w:sz="8" w:space="0"/>
              <w:right w:val="single" w:color="auto" w:sz="8" w:space="0"/>
            </w:tcBorders>
            <w:vAlign w:val="center"/>
          </w:tcPr>
          <w:p w14:paraId="6D9CA413">
            <w:pPr>
              <w:widowControl/>
              <w:spacing w:before="90" w:after="60" w:line="340" w:lineRule="exact"/>
              <w:jc w:val="center"/>
              <w:rPr>
                <w:rFonts w:ascii="仿宋_GB2312" w:hAnsi="宋体" w:eastAsia="仿宋_GB2312" w:cs="宋体"/>
                <w:color w:val="auto"/>
                <w:kern w:val="0"/>
                <w:szCs w:val="21"/>
                <w:highlight w:val="none"/>
                <w:u w:val="single"/>
              </w:rPr>
            </w:pPr>
            <w:r>
              <w:rPr>
                <w:rFonts w:hint="eastAsia" w:ascii="仿宋_GB2312" w:hAnsi="宋体" w:eastAsia="仿宋_GB2312" w:cs="宋体"/>
                <w:color w:val="auto"/>
                <w:kern w:val="0"/>
                <w:szCs w:val="21"/>
                <w:highlight w:val="none"/>
                <w:u w:val="single"/>
              </w:rPr>
              <w:t xml:space="preserve">      </w:t>
            </w:r>
            <w:r>
              <w:rPr>
                <w:rFonts w:hint="eastAsia" w:ascii="仿宋_GB2312" w:hAnsi="宋体" w:eastAsia="仿宋_GB2312" w:cs="宋体"/>
                <w:color w:val="auto"/>
                <w:kern w:val="0"/>
                <w:szCs w:val="21"/>
                <w:highlight w:val="none"/>
              </w:rPr>
              <w:t>年</w:t>
            </w:r>
            <w:r>
              <w:rPr>
                <w:rFonts w:hint="eastAsia" w:ascii="仿宋_GB2312" w:hAnsi="宋体" w:eastAsia="仿宋_GB2312" w:cs="宋体"/>
                <w:color w:val="auto"/>
                <w:kern w:val="0"/>
                <w:szCs w:val="21"/>
                <w:highlight w:val="none"/>
                <w:u w:val="single"/>
              </w:rPr>
              <w:t xml:space="preserve">  </w:t>
            </w:r>
            <w:r>
              <w:rPr>
                <w:rFonts w:hint="eastAsia" w:ascii="仿宋_GB2312" w:hAnsi="宋体" w:eastAsia="仿宋_GB2312" w:cs="宋体"/>
                <w:color w:val="auto"/>
                <w:kern w:val="0"/>
                <w:szCs w:val="21"/>
                <w:highlight w:val="none"/>
              </w:rPr>
              <w:t>月</w:t>
            </w:r>
            <w:r>
              <w:rPr>
                <w:rFonts w:hint="eastAsia" w:ascii="仿宋_GB2312" w:hAnsi="宋体" w:eastAsia="仿宋_GB2312" w:cs="宋体"/>
                <w:color w:val="auto"/>
                <w:kern w:val="0"/>
                <w:szCs w:val="21"/>
                <w:highlight w:val="none"/>
                <w:u w:val="single"/>
              </w:rPr>
              <w:t xml:space="preserve">  </w:t>
            </w:r>
            <w:r>
              <w:rPr>
                <w:rFonts w:hint="eastAsia" w:ascii="仿宋_GB2312" w:hAnsi="宋体" w:eastAsia="仿宋_GB2312" w:cs="宋体"/>
                <w:color w:val="auto"/>
                <w:kern w:val="0"/>
                <w:szCs w:val="21"/>
                <w:highlight w:val="none"/>
              </w:rPr>
              <w:t>日至</w:t>
            </w:r>
            <w:r>
              <w:rPr>
                <w:rFonts w:hint="eastAsia" w:ascii="仿宋_GB2312" w:hAnsi="宋体" w:eastAsia="仿宋_GB2312" w:cs="宋体"/>
                <w:color w:val="auto"/>
                <w:kern w:val="0"/>
                <w:szCs w:val="21"/>
                <w:highlight w:val="none"/>
                <w:u w:val="single"/>
              </w:rPr>
              <w:t xml:space="preserve">      </w:t>
            </w:r>
            <w:r>
              <w:rPr>
                <w:rFonts w:hint="eastAsia" w:ascii="仿宋_GB2312" w:hAnsi="宋体" w:eastAsia="仿宋_GB2312" w:cs="宋体"/>
                <w:color w:val="auto"/>
                <w:kern w:val="0"/>
                <w:szCs w:val="21"/>
                <w:highlight w:val="none"/>
              </w:rPr>
              <w:t>年</w:t>
            </w:r>
            <w:r>
              <w:rPr>
                <w:rFonts w:hint="eastAsia" w:ascii="仿宋_GB2312" w:hAnsi="宋体" w:eastAsia="仿宋_GB2312" w:cs="宋体"/>
                <w:color w:val="auto"/>
                <w:kern w:val="0"/>
                <w:szCs w:val="21"/>
                <w:highlight w:val="none"/>
                <w:u w:val="single"/>
              </w:rPr>
              <w:t xml:space="preserve">  </w:t>
            </w:r>
            <w:r>
              <w:rPr>
                <w:rFonts w:hint="eastAsia" w:ascii="仿宋_GB2312" w:hAnsi="宋体" w:eastAsia="仿宋_GB2312" w:cs="宋体"/>
                <w:color w:val="auto"/>
                <w:kern w:val="0"/>
                <w:szCs w:val="21"/>
                <w:highlight w:val="none"/>
              </w:rPr>
              <w:t>月</w:t>
            </w:r>
            <w:r>
              <w:rPr>
                <w:rFonts w:hint="eastAsia" w:ascii="仿宋_GB2312" w:hAnsi="宋体" w:eastAsia="仿宋_GB2312" w:cs="宋体"/>
                <w:color w:val="auto"/>
                <w:kern w:val="0"/>
                <w:szCs w:val="21"/>
                <w:highlight w:val="none"/>
                <w:u w:val="single"/>
              </w:rPr>
              <w:t xml:space="preserve">  </w:t>
            </w:r>
            <w:r>
              <w:rPr>
                <w:rFonts w:hint="eastAsia" w:ascii="仿宋_GB2312" w:hAnsi="宋体" w:eastAsia="仿宋_GB2312" w:cs="宋体"/>
                <w:color w:val="auto"/>
                <w:kern w:val="0"/>
                <w:szCs w:val="21"/>
                <w:highlight w:val="none"/>
              </w:rPr>
              <w:t>日</w:t>
            </w:r>
          </w:p>
        </w:tc>
        <w:tc>
          <w:tcPr>
            <w:tcW w:w="1843" w:type="dxa"/>
            <w:tcBorders>
              <w:top w:val="single" w:color="auto" w:sz="8" w:space="0"/>
              <w:left w:val="single" w:color="auto" w:sz="8" w:space="0"/>
              <w:bottom w:val="single" w:color="auto" w:sz="8" w:space="0"/>
              <w:right w:val="single" w:color="auto" w:sz="8" w:space="0"/>
            </w:tcBorders>
            <w:vAlign w:val="center"/>
          </w:tcPr>
          <w:p w14:paraId="0DC0F0EF">
            <w:pPr>
              <w:widowControl/>
              <w:spacing w:before="90" w:after="60" w:line="340" w:lineRule="exact"/>
              <w:jc w:val="center"/>
              <w:rPr>
                <w:rFonts w:ascii="仿宋_GB2312" w:hAnsi="宋体" w:eastAsia="仿宋_GB2312" w:cs="宋体"/>
                <w:color w:val="auto"/>
                <w:kern w:val="0"/>
                <w:szCs w:val="21"/>
                <w:highlight w:val="none"/>
              </w:rPr>
            </w:pPr>
          </w:p>
        </w:tc>
        <w:tc>
          <w:tcPr>
            <w:tcW w:w="1417" w:type="dxa"/>
            <w:tcBorders>
              <w:top w:val="single" w:color="auto" w:sz="8" w:space="0"/>
              <w:left w:val="single" w:color="auto" w:sz="8" w:space="0"/>
              <w:bottom w:val="single" w:color="auto" w:sz="8" w:space="0"/>
              <w:right w:val="single" w:color="auto" w:sz="8" w:space="0"/>
            </w:tcBorders>
            <w:vAlign w:val="center"/>
          </w:tcPr>
          <w:p w14:paraId="0F5DF6A4">
            <w:pPr>
              <w:widowControl/>
              <w:spacing w:before="90" w:after="60" w:line="340" w:lineRule="exact"/>
              <w:jc w:val="center"/>
              <w:rPr>
                <w:rFonts w:ascii="仿宋_GB2312" w:hAnsi="宋体" w:eastAsia="仿宋_GB2312" w:cs="宋体"/>
                <w:color w:val="auto"/>
                <w:kern w:val="0"/>
                <w:szCs w:val="21"/>
                <w:highlight w:val="none"/>
              </w:rPr>
            </w:pPr>
          </w:p>
        </w:tc>
      </w:tr>
      <w:tr w14:paraId="14B5E004">
        <w:tblPrEx>
          <w:tblCellMar>
            <w:top w:w="0" w:type="dxa"/>
            <w:left w:w="108" w:type="dxa"/>
            <w:bottom w:w="0" w:type="dxa"/>
            <w:right w:w="108" w:type="dxa"/>
          </w:tblCellMar>
        </w:tblPrEx>
        <w:trPr>
          <w:trHeight w:val="698" w:hRule="atLeast"/>
        </w:trPr>
        <w:tc>
          <w:tcPr>
            <w:tcW w:w="1695" w:type="dxa"/>
            <w:tcBorders>
              <w:top w:val="nil"/>
              <w:left w:val="single" w:color="auto" w:sz="8" w:space="0"/>
              <w:bottom w:val="single" w:color="auto" w:sz="8" w:space="0"/>
              <w:right w:val="single" w:color="auto" w:sz="8" w:space="0"/>
            </w:tcBorders>
            <w:vAlign w:val="center"/>
          </w:tcPr>
          <w:p w14:paraId="1A005380">
            <w:pPr>
              <w:widowControl/>
              <w:spacing w:before="90" w:after="60" w:line="340" w:lineRule="exac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2</w:t>
            </w:r>
          </w:p>
        </w:tc>
        <w:tc>
          <w:tcPr>
            <w:tcW w:w="4111" w:type="dxa"/>
            <w:tcBorders>
              <w:top w:val="single" w:color="auto" w:sz="8" w:space="0"/>
              <w:left w:val="single" w:color="auto" w:sz="8" w:space="0"/>
              <w:bottom w:val="single" w:color="auto" w:sz="8" w:space="0"/>
              <w:right w:val="single" w:color="auto" w:sz="8" w:space="0"/>
            </w:tcBorders>
            <w:vAlign w:val="center"/>
          </w:tcPr>
          <w:p w14:paraId="0D095ADD">
            <w:pPr>
              <w:widowControl/>
              <w:spacing w:before="90" w:after="60" w:line="340" w:lineRule="exact"/>
              <w:jc w:val="center"/>
              <w:rPr>
                <w:rFonts w:ascii="仿宋_GB2312" w:hAnsi="宋体" w:eastAsia="仿宋_GB2312" w:cs="宋体"/>
                <w:color w:val="auto"/>
                <w:kern w:val="0"/>
                <w:szCs w:val="21"/>
                <w:highlight w:val="none"/>
                <w:u w:val="single"/>
              </w:rPr>
            </w:pPr>
            <w:r>
              <w:rPr>
                <w:rFonts w:hint="eastAsia" w:ascii="仿宋_GB2312" w:hAnsi="宋体" w:eastAsia="仿宋_GB2312" w:cs="宋体"/>
                <w:color w:val="auto"/>
                <w:kern w:val="0"/>
                <w:szCs w:val="21"/>
                <w:highlight w:val="none"/>
                <w:u w:val="single"/>
              </w:rPr>
              <w:t xml:space="preserve">      </w:t>
            </w:r>
            <w:r>
              <w:rPr>
                <w:rFonts w:hint="eastAsia" w:ascii="仿宋_GB2312" w:hAnsi="宋体" w:eastAsia="仿宋_GB2312" w:cs="宋体"/>
                <w:color w:val="auto"/>
                <w:kern w:val="0"/>
                <w:szCs w:val="21"/>
                <w:highlight w:val="none"/>
              </w:rPr>
              <w:t>年</w:t>
            </w:r>
            <w:r>
              <w:rPr>
                <w:rFonts w:hint="eastAsia" w:ascii="仿宋_GB2312" w:hAnsi="宋体" w:eastAsia="仿宋_GB2312" w:cs="宋体"/>
                <w:color w:val="auto"/>
                <w:kern w:val="0"/>
                <w:szCs w:val="21"/>
                <w:highlight w:val="none"/>
                <w:u w:val="single"/>
              </w:rPr>
              <w:t xml:space="preserve">  </w:t>
            </w:r>
            <w:r>
              <w:rPr>
                <w:rFonts w:hint="eastAsia" w:ascii="仿宋_GB2312" w:hAnsi="宋体" w:eastAsia="仿宋_GB2312" w:cs="宋体"/>
                <w:color w:val="auto"/>
                <w:kern w:val="0"/>
                <w:szCs w:val="21"/>
                <w:highlight w:val="none"/>
              </w:rPr>
              <w:t>月</w:t>
            </w:r>
            <w:r>
              <w:rPr>
                <w:rFonts w:hint="eastAsia" w:ascii="仿宋_GB2312" w:hAnsi="宋体" w:eastAsia="仿宋_GB2312" w:cs="宋体"/>
                <w:color w:val="auto"/>
                <w:kern w:val="0"/>
                <w:szCs w:val="21"/>
                <w:highlight w:val="none"/>
                <w:u w:val="single"/>
              </w:rPr>
              <w:t xml:space="preserve">  </w:t>
            </w:r>
            <w:r>
              <w:rPr>
                <w:rFonts w:hint="eastAsia" w:ascii="仿宋_GB2312" w:hAnsi="宋体" w:eastAsia="仿宋_GB2312" w:cs="宋体"/>
                <w:color w:val="auto"/>
                <w:kern w:val="0"/>
                <w:szCs w:val="21"/>
                <w:highlight w:val="none"/>
              </w:rPr>
              <w:t>日至</w:t>
            </w:r>
            <w:r>
              <w:rPr>
                <w:rFonts w:hint="eastAsia" w:ascii="仿宋_GB2312" w:hAnsi="宋体" w:eastAsia="仿宋_GB2312" w:cs="宋体"/>
                <w:color w:val="auto"/>
                <w:kern w:val="0"/>
                <w:szCs w:val="21"/>
                <w:highlight w:val="none"/>
                <w:u w:val="single"/>
              </w:rPr>
              <w:t xml:space="preserve">      </w:t>
            </w:r>
            <w:r>
              <w:rPr>
                <w:rFonts w:hint="eastAsia" w:ascii="仿宋_GB2312" w:hAnsi="宋体" w:eastAsia="仿宋_GB2312" w:cs="宋体"/>
                <w:color w:val="auto"/>
                <w:kern w:val="0"/>
                <w:szCs w:val="21"/>
                <w:highlight w:val="none"/>
              </w:rPr>
              <w:t>年</w:t>
            </w:r>
            <w:r>
              <w:rPr>
                <w:rFonts w:hint="eastAsia" w:ascii="仿宋_GB2312" w:hAnsi="宋体" w:eastAsia="仿宋_GB2312" w:cs="宋体"/>
                <w:color w:val="auto"/>
                <w:kern w:val="0"/>
                <w:szCs w:val="21"/>
                <w:highlight w:val="none"/>
                <w:u w:val="single"/>
              </w:rPr>
              <w:t xml:space="preserve">  </w:t>
            </w:r>
            <w:r>
              <w:rPr>
                <w:rFonts w:hint="eastAsia" w:ascii="仿宋_GB2312" w:hAnsi="宋体" w:eastAsia="仿宋_GB2312" w:cs="宋体"/>
                <w:color w:val="auto"/>
                <w:kern w:val="0"/>
                <w:szCs w:val="21"/>
                <w:highlight w:val="none"/>
              </w:rPr>
              <w:t>月</w:t>
            </w:r>
            <w:r>
              <w:rPr>
                <w:rFonts w:hint="eastAsia" w:ascii="仿宋_GB2312" w:hAnsi="宋体" w:eastAsia="仿宋_GB2312" w:cs="宋体"/>
                <w:color w:val="auto"/>
                <w:kern w:val="0"/>
                <w:szCs w:val="21"/>
                <w:highlight w:val="none"/>
                <w:u w:val="single"/>
              </w:rPr>
              <w:t xml:space="preserve">  </w:t>
            </w:r>
            <w:r>
              <w:rPr>
                <w:rFonts w:hint="eastAsia" w:ascii="仿宋_GB2312" w:hAnsi="宋体" w:eastAsia="仿宋_GB2312" w:cs="宋体"/>
                <w:color w:val="auto"/>
                <w:kern w:val="0"/>
                <w:szCs w:val="21"/>
                <w:highlight w:val="none"/>
              </w:rPr>
              <w:t>日</w:t>
            </w:r>
          </w:p>
        </w:tc>
        <w:tc>
          <w:tcPr>
            <w:tcW w:w="1843" w:type="dxa"/>
            <w:tcBorders>
              <w:top w:val="single" w:color="auto" w:sz="8" w:space="0"/>
              <w:left w:val="single" w:color="auto" w:sz="8" w:space="0"/>
              <w:bottom w:val="single" w:color="auto" w:sz="8" w:space="0"/>
              <w:right w:val="single" w:color="auto" w:sz="8" w:space="0"/>
            </w:tcBorders>
            <w:vAlign w:val="center"/>
          </w:tcPr>
          <w:p w14:paraId="2490EA7A">
            <w:pPr>
              <w:widowControl/>
              <w:spacing w:before="90" w:after="60" w:line="340" w:lineRule="exact"/>
              <w:jc w:val="center"/>
              <w:rPr>
                <w:rFonts w:ascii="仿宋_GB2312" w:hAnsi="宋体" w:eastAsia="仿宋_GB2312" w:cs="宋体"/>
                <w:color w:val="auto"/>
                <w:kern w:val="0"/>
                <w:szCs w:val="21"/>
                <w:highlight w:val="none"/>
              </w:rPr>
            </w:pPr>
          </w:p>
        </w:tc>
        <w:tc>
          <w:tcPr>
            <w:tcW w:w="1417" w:type="dxa"/>
            <w:tcBorders>
              <w:top w:val="single" w:color="auto" w:sz="8" w:space="0"/>
              <w:left w:val="single" w:color="auto" w:sz="8" w:space="0"/>
              <w:bottom w:val="single" w:color="auto" w:sz="8" w:space="0"/>
              <w:right w:val="single" w:color="auto" w:sz="8" w:space="0"/>
            </w:tcBorders>
            <w:vAlign w:val="center"/>
          </w:tcPr>
          <w:p w14:paraId="497D6129">
            <w:pPr>
              <w:widowControl/>
              <w:spacing w:before="90" w:after="60" w:line="340" w:lineRule="exact"/>
              <w:jc w:val="center"/>
              <w:rPr>
                <w:rFonts w:ascii="仿宋_GB2312" w:hAnsi="宋体" w:eastAsia="仿宋_GB2312" w:cs="宋体"/>
                <w:color w:val="auto"/>
                <w:kern w:val="0"/>
                <w:szCs w:val="21"/>
                <w:highlight w:val="none"/>
              </w:rPr>
            </w:pPr>
          </w:p>
        </w:tc>
      </w:tr>
      <w:tr w14:paraId="44791A20">
        <w:tblPrEx>
          <w:tblCellMar>
            <w:top w:w="0" w:type="dxa"/>
            <w:left w:w="108" w:type="dxa"/>
            <w:bottom w:w="0" w:type="dxa"/>
            <w:right w:w="108" w:type="dxa"/>
          </w:tblCellMar>
        </w:tblPrEx>
        <w:trPr>
          <w:trHeight w:val="681" w:hRule="atLeast"/>
        </w:trPr>
        <w:tc>
          <w:tcPr>
            <w:tcW w:w="1695" w:type="dxa"/>
            <w:tcBorders>
              <w:top w:val="single" w:color="auto" w:sz="8" w:space="0"/>
              <w:left w:val="single" w:color="auto" w:sz="8" w:space="0"/>
              <w:bottom w:val="single" w:color="auto" w:sz="8" w:space="0"/>
              <w:right w:val="single" w:color="auto" w:sz="8" w:space="0"/>
            </w:tcBorders>
            <w:vAlign w:val="center"/>
          </w:tcPr>
          <w:p w14:paraId="13DBBEB3">
            <w:pPr>
              <w:widowControl/>
              <w:spacing w:before="90" w:after="60" w:line="340" w:lineRule="exac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3</w:t>
            </w:r>
          </w:p>
        </w:tc>
        <w:tc>
          <w:tcPr>
            <w:tcW w:w="4111" w:type="dxa"/>
            <w:tcBorders>
              <w:top w:val="single" w:color="auto" w:sz="8" w:space="0"/>
              <w:left w:val="single" w:color="auto" w:sz="8" w:space="0"/>
              <w:bottom w:val="single" w:color="auto" w:sz="8" w:space="0"/>
              <w:right w:val="single" w:color="auto" w:sz="8" w:space="0"/>
            </w:tcBorders>
            <w:vAlign w:val="center"/>
          </w:tcPr>
          <w:p w14:paraId="3A546EE8">
            <w:pPr>
              <w:widowControl/>
              <w:spacing w:before="90" w:after="60" w:line="340" w:lineRule="exact"/>
              <w:jc w:val="center"/>
              <w:rPr>
                <w:rFonts w:ascii="仿宋_GB2312" w:hAnsi="宋体" w:eastAsia="仿宋_GB2312" w:cs="宋体"/>
                <w:color w:val="auto"/>
                <w:kern w:val="0"/>
                <w:szCs w:val="21"/>
                <w:highlight w:val="none"/>
                <w:u w:val="single"/>
              </w:rPr>
            </w:pPr>
            <w:r>
              <w:rPr>
                <w:rFonts w:hint="eastAsia" w:ascii="仿宋_GB2312" w:hAnsi="宋体" w:eastAsia="仿宋_GB2312" w:cs="宋体"/>
                <w:color w:val="auto"/>
                <w:kern w:val="0"/>
                <w:szCs w:val="21"/>
                <w:highlight w:val="none"/>
                <w:u w:val="single"/>
              </w:rPr>
              <w:t xml:space="preserve">      </w:t>
            </w:r>
            <w:r>
              <w:rPr>
                <w:rFonts w:hint="eastAsia" w:ascii="仿宋_GB2312" w:hAnsi="宋体" w:eastAsia="仿宋_GB2312" w:cs="宋体"/>
                <w:color w:val="auto"/>
                <w:kern w:val="0"/>
                <w:szCs w:val="21"/>
                <w:highlight w:val="none"/>
              </w:rPr>
              <w:t>年</w:t>
            </w:r>
            <w:r>
              <w:rPr>
                <w:rFonts w:hint="eastAsia" w:ascii="仿宋_GB2312" w:hAnsi="宋体" w:eastAsia="仿宋_GB2312" w:cs="宋体"/>
                <w:color w:val="auto"/>
                <w:kern w:val="0"/>
                <w:szCs w:val="21"/>
                <w:highlight w:val="none"/>
                <w:u w:val="single"/>
              </w:rPr>
              <w:t xml:space="preserve">  </w:t>
            </w:r>
            <w:r>
              <w:rPr>
                <w:rFonts w:hint="eastAsia" w:ascii="仿宋_GB2312" w:hAnsi="宋体" w:eastAsia="仿宋_GB2312" w:cs="宋体"/>
                <w:color w:val="auto"/>
                <w:kern w:val="0"/>
                <w:szCs w:val="21"/>
                <w:highlight w:val="none"/>
              </w:rPr>
              <w:t>月</w:t>
            </w:r>
            <w:r>
              <w:rPr>
                <w:rFonts w:hint="eastAsia" w:ascii="仿宋_GB2312" w:hAnsi="宋体" w:eastAsia="仿宋_GB2312" w:cs="宋体"/>
                <w:color w:val="auto"/>
                <w:kern w:val="0"/>
                <w:szCs w:val="21"/>
                <w:highlight w:val="none"/>
                <w:u w:val="single"/>
              </w:rPr>
              <w:t xml:space="preserve">  </w:t>
            </w:r>
            <w:r>
              <w:rPr>
                <w:rFonts w:hint="eastAsia" w:ascii="仿宋_GB2312" w:hAnsi="宋体" w:eastAsia="仿宋_GB2312" w:cs="宋体"/>
                <w:color w:val="auto"/>
                <w:kern w:val="0"/>
                <w:szCs w:val="21"/>
                <w:highlight w:val="none"/>
              </w:rPr>
              <w:t>日至</w:t>
            </w:r>
            <w:r>
              <w:rPr>
                <w:rFonts w:hint="eastAsia" w:ascii="仿宋_GB2312" w:hAnsi="宋体" w:eastAsia="仿宋_GB2312" w:cs="宋体"/>
                <w:color w:val="auto"/>
                <w:kern w:val="0"/>
                <w:szCs w:val="21"/>
                <w:highlight w:val="none"/>
                <w:u w:val="single"/>
              </w:rPr>
              <w:t xml:space="preserve">      </w:t>
            </w:r>
            <w:r>
              <w:rPr>
                <w:rFonts w:hint="eastAsia" w:ascii="仿宋_GB2312" w:hAnsi="宋体" w:eastAsia="仿宋_GB2312" w:cs="宋体"/>
                <w:color w:val="auto"/>
                <w:kern w:val="0"/>
                <w:szCs w:val="21"/>
                <w:highlight w:val="none"/>
              </w:rPr>
              <w:t>年</w:t>
            </w:r>
            <w:r>
              <w:rPr>
                <w:rFonts w:hint="eastAsia" w:ascii="仿宋_GB2312" w:hAnsi="宋体" w:eastAsia="仿宋_GB2312" w:cs="宋体"/>
                <w:color w:val="auto"/>
                <w:kern w:val="0"/>
                <w:szCs w:val="21"/>
                <w:highlight w:val="none"/>
                <w:u w:val="single"/>
              </w:rPr>
              <w:t xml:space="preserve">  </w:t>
            </w:r>
            <w:r>
              <w:rPr>
                <w:rFonts w:hint="eastAsia" w:ascii="仿宋_GB2312" w:hAnsi="宋体" w:eastAsia="仿宋_GB2312" w:cs="宋体"/>
                <w:color w:val="auto"/>
                <w:kern w:val="0"/>
                <w:szCs w:val="21"/>
                <w:highlight w:val="none"/>
              </w:rPr>
              <w:t>月</w:t>
            </w:r>
            <w:r>
              <w:rPr>
                <w:rFonts w:hint="eastAsia" w:ascii="仿宋_GB2312" w:hAnsi="宋体" w:eastAsia="仿宋_GB2312" w:cs="宋体"/>
                <w:color w:val="auto"/>
                <w:kern w:val="0"/>
                <w:szCs w:val="21"/>
                <w:highlight w:val="none"/>
                <w:u w:val="single"/>
              </w:rPr>
              <w:t xml:space="preserve">  </w:t>
            </w:r>
            <w:r>
              <w:rPr>
                <w:rFonts w:hint="eastAsia" w:ascii="仿宋_GB2312" w:hAnsi="宋体" w:eastAsia="仿宋_GB2312" w:cs="宋体"/>
                <w:color w:val="auto"/>
                <w:kern w:val="0"/>
                <w:szCs w:val="21"/>
                <w:highlight w:val="none"/>
              </w:rPr>
              <w:t>日</w:t>
            </w:r>
          </w:p>
        </w:tc>
        <w:tc>
          <w:tcPr>
            <w:tcW w:w="1843" w:type="dxa"/>
            <w:tcBorders>
              <w:top w:val="single" w:color="auto" w:sz="8" w:space="0"/>
              <w:left w:val="single" w:color="auto" w:sz="8" w:space="0"/>
              <w:bottom w:val="single" w:color="auto" w:sz="8" w:space="0"/>
              <w:right w:val="single" w:color="auto" w:sz="8" w:space="0"/>
            </w:tcBorders>
            <w:vAlign w:val="center"/>
          </w:tcPr>
          <w:p w14:paraId="53537C4D">
            <w:pPr>
              <w:widowControl/>
              <w:spacing w:before="90" w:after="60" w:line="340" w:lineRule="exact"/>
              <w:jc w:val="center"/>
              <w:rPr>
                <w:rFonts w:ascii="仿宋_GB2312" w:hAnsi="宋体" w:eastAsia="仿宋_GB2312" w:cs="宋体"/>
                <w:color w:val="auto"/>
                <w:kern w:val="0"/>
                <w:szCs w:val="21"/>
                <w:highlight w:val="none"/>
              </w:rPr>
            </w:pPr>
          </w:p>
        </w:tc>
        <w:tc>
          <w:tcPr>
            <w:tcW w:w="1417" w:type="dxa"/>
            <w:tcBorders>
              <w:top w:val="single" w:color="auto" w:sz="8" w:space="0"/>
              <w:left w:val="single" w:color="auto" w:sz="8" w:space="0"/>
              <w:bottom w:val="single" w:color="auto" w:sz="8" w:space="0"/>
              <w:right w:val="single" w:color="auto" w:sz="8" w:space="0"/>
            </w:tcBorders>
            <w:vAlign w:val="center"/>
          </w:tcPr>
          <w:p w14:paraId="7EF34A7B">
            <w:pPr>
              <w:widowControl/>
              <w:spacing w:before="90" w:after="60" w:line="340" w:lineRule="exact"/>
              <w:jc w:val="center"/>
              <w:rPr>
                <w:rFonts w:ascii="仿宋_GB2312" w:hAnsi="宋体" w:eastAsia="仿宋_GB2312" w:cs="宋体"/>
                <w:color w:val="auto"/>
                <w:kern w:val="0"/>
                <w:szCs w:val="21"/>
                <w:highlight w:val="none"/>
              </w:rPr>
            </w:pPr>
          </w:p>
        </w:tc>
      </w:tr>
      <w:tr w14:paraId="03CD347C">
        <w:tblPrEx>
          <w:tblCellMar>
            <w:top w:w="0" w:type="dxa"/>
            <w:left w:w="108" w:type="dxa"/>
            <w:bottom w:w="0" w:type="dxa"/>
            <w:right w:w="108" w:type="dxa"/>
          </w:tblCellMar>
        </w:tblPrEx>
        <w:trPr>
          <w:trHeight w:val="705" w:hRule="atLeast"/>
        </w:trPr>
        <w:tc>
          <w:tcPr>
            <w:tcW w:w="1695" w:type="dxa"/>
            <w:tcBorders>
              <w:top w:val="single" w:color="auto" w:sz="8" w:space="0"/>
              <w:left w:val="single" w:color="auto" w:sz="8" w:space="0"/>
              <w:bottom w:val="single" w:color="auto" w:sz="8" w:space="0"/>
              <w:right w:val="single" w:color="auto" w:sz="8" w:space="0"/>
            </w:tcBorders>
            <w:vAlign w:val="center"/>
          </w:tcPr>
          <w:p w14:paraId="28EF7CFA">
            <w:pPr>
              <w:widowControl/>
              <w:spacing w:before="90" w:after="60" w:line="340" w:lineRule="exac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4</w:t>
            </w:r>
          </w:p>
        </w:tc>
        <w:tc>
          <w:tcPr>
            <w:tcW w:w="4111" w:type="dxa"/>
            <w:tcBorders>
              <w:top w:val="single" w:color="auto" w:sz="8" w:space="0"/>
              <w:left w:val="single" w:color="auto" w:sz="8" w:space="0"/>
              <w:bottom w:val="single" w:color="auto" w:sz="8" w:space="0"/>
              <w:right w:val="single" w:color="auto" w:sz="8" w:space="0"/>
            </w:tcBorders>
            <w:vAlign w:val="center"/>
          </w:tcPr>
          <w:p w14:paraId="2EC8A916">
            <w:pPr>
              <w:widowControl/>
              <w:spacing w:before="90" w:after="60" w:line="340" w:lineRule="exact"/>
              <w:jc w:val="center"/>
              <w:rPr>
                <w:rFonts w:ascii="仿宋_GB2312" w:hAnsi="宋体" w:eastAsia="仿宋_GB2312" w:cs="宋体"/>
                <w:color w:val="auto"/>
                <w:kern w:val="0"/>
                <w:szCs w:val="21"/>
                <w:highlight w:val="none"/>
                <w:u w:val="single"/>
              </w:rPr>
            </w:pPr>
            <w:r>
              <w:rPr>
                <w:rFonts w:hint="eastAsia" w:ascii="仿宋_GB2312" w:hAnsi="宋体" w:eastAsia="仿宋_GB2312" w:cs="宋体"/>
                <w:color w:val="auto"/>
                <w:kern w:val="0"/>
                <w:szCs w:val="21"/>
                <w:highlight w:val="none"/>
                <w:u w:val="single"/>
              </w:rPr>
              <w:t xml:space="preserve">      </w:t>
            </w:r>
            <w:r>
              <w:rPr>
                <w:rFonts w:hint="eastAsia" w:ascii="仿宋_GB2312" w:hAnsi="宋体" w:eastAsia="仿宋_GB2312" w:cs="宋体"/>
                <w:color w:val="auto"/>
                <w:kern w:val="0"/>
                <w:szCs w:val="21"/>
                <w:highlight w:val="none"/>
              </w:rPr>
              <w:t>年</w:t>
            </w:r>
            <w:r>
              <w:rPr>
                <w:rFonts w:hint="eastAsia" w:ascii="仿宋_GB2312" w:hAnsi="宋体" w:eastAsia="仿宋_GB2312" w:cs="宋体"/>
                <w:color w:val="auto"/>
                <w:kern w:val="0"/>
                <w:szCs w:val="21"/>
                <w:highlight w:val="none"/>
                <w:u w:val="single"/>
              </w:rPr>
              <w:t xml:space="preserve">  </w:t>
            </w:r>
            <w:r>
              <w:rPr>
                <w:rFonts w:hint="eastAsia" w:ascii="仿宋_GB2312" w:hAnsi="宋体" w:eastAsia="仿宋_GB2312" w:cs="宋体"/>
                <w:color w:val="auto"/>
                <w:kern w:val="0"/>
                <w:szCs w:val="21"/>
                <w:highlight w:val="none"/>
              </w:rPr>
              <w:t>月</w:t>
            </w:r>
            <w:r>
              <w:rPr>
                <w:rFonts w:hint="eastAsia" w:ascii="仿宋_GB2312" w:hAnsi="宋体" w:eastAsia="仿宋_GB2312" w:cs="宋体"/>
                <w:color w:val="auto"/>
                <w:kern w:val="0"/>
                <w:szCs w:val="21"/>
                <w:highlight w:val="none"/>
                <w:u w:val="single"/>
              </w:rPr>
              <w:t xml:space="preserve">  </w:t>
            </w:r>
            <w:r>
              <w:rPr>
                <w:rFonts w:hint="eastAsia" w:ascii="仿宋_GB2312" w:hAnsi="宋体" w:eastAsia="仿宋_GB2312" w:cs="宋体"/>
                <w:color w:val="auto"/>
                <w:kern w:val="0"/>
                <w:szCs w:val="21"/>
                <w:highlight w:val="none"/>
              </w:rPr>
              <w:t>日至</w:t>
            </w:r>
            <w:r>
              <w:rPr>
                <w:rFonts w:hint="eastAsia" w:ascii="仿宋_GB2312" w:hAnsi="宋体" w:eastAsia="仿宋_GB2312" w:cs="宋体"/>
                <w:color w:val="auto"/>
                <w:kern w:val="0"/>
                <w:szCs w:val="21"/>
                <w:highlight w:val="none"/>
                <w:u w:val="single"/>
              </w:rPr>
              <w:t xml:space="preserve">      </w:t>
            </w:r>
            <w:r>
              <w:rPr>
                <w:rFonts w:hint="eastAsia" w:ascii="仿宋_GB2312" w:hAnsi="宋体" w:eastAsia="仿宋_GB2312" w:cs="宋体"/>
                <w:color w:val="auto"/>
                <w:kern w:val="0"/>
                <w:szCs w:val="21"/>
                <w:highlight w:val="none"/>
              </w:rPr>
              <w:t>年</w:t>
            </w:r>
            <w:r>
              <w:rPr>
                <w:rFonts w:hint="eastAsia" w:ascii="仿宋_GB2312" w:hAnsi="宋体" w:eastAsia="仿宋_GB2312" w:cs="宋体"/>
                <w:color w:val="auto"/>
                <w:kern w:val="0"/>
                <w:szCs w:val="21"/>
                <w:highlight w:val="none"/>
                <w:u w:val="single"/>
              </w:rPr>
              <w:t xml:space="preserve">  </w:t>
            </w:r>
            <w:r>
              <w:rPr>
                <w:rFonts w:hint="eastAsia" w:ascii="仿宋_GB2312" w:hAnsi="宋体" w:eastAsia="仿宋_GB2312" w:cs="宋体"/>
                <w:color w:val="auto"/>
                <w:kern w:val="0"/>
                <w:szCs w:val="21"/>
                <w:highlight w:val="none"/>
              </w:rPr>
              <w:t>月</w:t>
            </w:r>
            <w:r>
              <w:rPr>
                <w:rFonts w:hint="eastAsia" w:ascii="仿宋_GB2312" w:hAnsi="宋体" w:eastAsia="仿宋_GB2312" w:cs="宋体"/>
                <w:color w:val="auto"/>
                <w:kern w:val="0"/>
                <w:szCs w:val="21"/>
                <w:highlight w:val="none"/>
                <w:u w:val="single"/>
              </w:rPr>
              <w:t xml:space="preserve">  </w:t>
            </w:r>
            <w:r>
              <w:rPr>
                <w:rFonts w:hint="eastAsia" w:ascii="仿宋_GB2312" w:hAnsi="宋体" w:eastAsia="仿宋_GB2312" w:cs="宋体"/>
                <w:color w:val="auto"/>
                <w:kern w:val="0"/>
                <w:szCs w:val="21"/>
                <w:highlight w:val="none"/>
              </w:rPr>
              <w:t>日</w:t>
            </w:r>
          </w:p>
        </w:tc>
        <w:tc>
          <w:tcPr>
            <w:tcW w:w="1843" w:type="dxa"/>
            <w:tcBorders>
              <w:top w:val="single" w:color="auto" w:sz="8" w:space="0"/>
              <w:left w:val="single" w:color="auto" w:sz="8" w:space="0"/>
              <w:bottom w:val="single" w:color="auto" w:sz="8" w:space="0"/>
              <w:right w:val="single" w:color="auto" w:sz="8" w:space="0"/>
            </w:tcBorders>
            <w:vAlign w:val="center"/>
          </w:tcPr>
          <w:p w14:paraId="7BAA4801">
            <w:pPr>
              <w:widowControl/>
              <w:spacing w:before="90" w:after="60" w:line="340" w:lineRule="exact"/>
              <w:jc w:val="center"/>
              <w:rPr>
                <w:rFonts w:ascii="仿宋_GB2312" w:hAnsi="宋体" w:eastAsia="仿宋_GB2312" w:cs="宋体"/>
                <w:color w:val="auto"/>
                <w:kern w:val="0"/>
                <w:szCs w:val="21"/>
                <w:highlight w:val="none"/>
              </w:rPr>
            </w:pPr>
          </w:p>
        </w:tc>
        <w:tc>
          <w:tcPr>
            <w:tcW w:w="1417" w:type="dxa"/>
            <w:tcBorders>
              <w:top w:val="single" w:color="auto" w:sz="8" w:space="0"/>
              <w:left w:val="single" w:color="auto" w:sz="8" w:space="0"/>
              <w:bottom w:val="single" w:color="auto" w:sz="8" w:space="0"/>
              <w:right w:val="single" w:color="auto" w:sz="8" w:space="0"/>
            </w:tcBorders>
            <w:vAlign w:val="center"/>
          </w:tcPr>
          <w:p w14:paraId="4BE137FB">
            <w:pPr>
              <w:widowControl/>
              <w:spacing w:before="90" w:after="60" w:line="340" w:lineRule="exact"/>
              <w:jc w:val="center"/>
              <w:rPr>
                <w:rFonts w:ascii="仿宋_GB2312" w:hAnsi="宋体" w:eastAsia="仿宋_GB2312" w:cs="宋体"/>
                <w:color w:val="auto"/>
                <w:kern w:val="0"/>
                <w:szCs w:val="21"/>
                <w:highlight w:val="none"/>
              </w:rPr>
            </w:pPr>
          </w:p>
        </w:tc>
      </w:tr>
      <w:tr w14:paraId="617ABE21">
        <w:tblPrEx>
          <w:tblCellMar>
            <w:top w:w="0" w:type="dxa"/>
            <w:left w:w="108" w:type="dxa"/>
            <w:bottom w:w="0" w:type="dxa"/>
            <w:right w:w="108" w:type="dxa"/>
          </w:tblCellMar>
        </w:tblPrEx>
        <w:trPr>
          <w:trHeight w:val="675" w:hRule="atLeast"/>
        </w:trPr>
        <w:tc>
          <w:tcPr>
            <w:tcW w:w="9066" w:type="dxa"/>
            <w:gridSpan w:val="4"/>
            <w:tcBorders>
              <w:top w:val="nil"/>
              <w:left w:val="single" w:color="auto" w:sz="8" w:space="0"/>
              <w:bottom w:val="single" w:color="auto" w:sz="8" w:space="0"/>
              <w:right w:val="single" w:color="auto" w:sz="8" w:space="0"/>
            </w:tcBorders>
            <w:vAlign w:val="center"/>
          </w:tcPr>
          <w:p w14:paraId="62D8E6C3">
            <w:pPr>
              <w:widowControl/>
              <w:spacing w:before="90" w:after="60" w:line="340" w:lineRule="exact"/>
              <w:rPr>
                <w:rFonts w:ascii="宋体" w:hAnsi="宋体" w:cs="宋体"/>
                <w:color w:val="auto"/>
                <w:kern w:val="0"/>
                <w:szCs w:val="21"/>
                <w:highlight w:val="none"/>
              </w:rPr>
            </w:pPr>
            <w:r>
              <w:rPr>
                <w:rFonts w:hint="eastAsia" w:ascii="仿宋" w:hAnsi="仿宋" w:eastAsia="仿宋" w:cs="仿宋"/>
                <w:color w:val="auto"/>
                <w:kern w:val="0"/>
                <w:szCs w:val="21"/>
                <w:highlight w:val="none"/>
              </w:rPr>
              <w:t>合同期租金总额</w:t>
            </w:r>
            <w:r>
              <w:rPr>
                <w:rFonts w:hint="eastAsia" w:ascii="仿宋" w:hAnsi="仿宋" w:eastAsia="仿宋" w:cs="仿宋"/>
                <w:color w:val="auto"/>
                <w:kern w:val="0"/>
                <w:szCs w:val="21"/>
                <w:highlight w:val="none"/>
                <w:u w:val="single"/>
              </w:rPr>
              <w:t xml:space="preserve">          </w:t>
            </w:r>
            <w:r>
              <w:rPr>
                <w:rFonts w:hint="eastAsia" w:ascii="仿宋" w:hAnsi="仿宋" w:eastAsia="仿宋" w:cs="仿宋"/>
                <w:color w:val="auto"/>
                <w:kern w:val="0"/>
                <w:szCs w:val="21"/>
                <w:highlight w:val="none"/>
              </w:rPr>
              <w:t>元，其中税额</w:t>
            </w:r>
            <w:r>
              <w:rPr>
                <w:rFonts w:hint="eastAsia" w:ascii="仿宋" w:hAnsi="仿宋" w:eastAsia="仿宋" w:cs="仿宋"/>
                <w:color w:val="auto"/>
                <w:kern w:val="0"/>
                <w:szCs w:val="21"/>
                <w:highlight w:val="none"/>
                <w:u w:val="single"/>
              </w:rPr>
              <w:t xml:space="preserve">           </w:t>
            </w:r>
            <w:r>
              <w:rPr>
                <w:rFonts w:hint="eastAsia" w:ascii="仿宋" w:hAnsi="仿宋" w:eastAsia="仿宋" w:cs="仿宋"/>
                <w:color w:val="auto"/>
                <w:kern w:val="0"/>
                <w:szCs w:val="21"/>
                <w:highlight w:val="none"/>
              </w:rPr>
              <w:t>元，不含税租金</w:t>
            </w:r>
            <w:r>
              <w:rPr>
                <w:rFonts w:hint="eastAsia" w:ascii="仿宋" w:hAnsi="仿宋" w:eastAsia="仿宋" w:cs="仿宋"/>
                <w:color w:val="auto"/>
                <w:kern w:val="0"/>
                <w:szCs w:val="21"/>
                <w:highlight w:val="none"/>
                <w:u w:val="single"/>
              </w:rPr>
              <w:t xml:space="preserve">          </w:t>
            </w:r>
            <w:r>
              <w:rPr>
                <w:rFonts w:hint="eastAsia" w:ascii="仿宋" w:hAnsi="仿宋" w:eastAsia="仿宋" w:cs="仿宋"/>
                <w:color w:val="auto"/>
                <w:kern w:val="0"/>
                <w:szCs w:val="21"/>
                <w:highlight w:val="none"/>
              </w:rPr>
              <w:t>元。</w:t>
            </w:r>
          </w:p>
        </w:tc>
      </w:tr>
    </w:tbl>
    <w:p w14:paraId="502D692E">
      <w:pPr>
        <w:spacing w:before="90" w:after="60"/>
        <w:ind w:firstLine="480" w:firstLineChars="200"/>
        <w:rPr>
          <w:rFonts w:ascii="仿宋_GB2312" w:hAnsi="宋体" w:eastAsia="仿宋_GB2312" w:cs="仿宋_GB2312"/>
          <w:color w:val="auto"/>
          <w:sz w:val="24"/>
          <w:szCs w:val="24"/>
          <w:highlight w:val="none"/>
        </w:rPr>
      </w:pPr>
      <w:r>
        <w:rPr>
          <w:rFonts w:ascii="仿宋_GB2312" w:hAnsi="宋体" w:eastAsia="仿宋_GB2312" w:cs="仿宋_GB2312"/>
          <w:color w:val="auto"/>
          <w:sz w:val="24"/>
          <w:szCs w:val="24"/>
          <w:highlight w:val="none"/>
        </w:rPr>
        <w:t>2</w:t>
      </w:r>
      <w:r>
        <w:rPr>
          <w:rFonts w:hint="eastAsia" w:ascii="仿宋_GB2312" w:hAnsi="宋体" w:eastAsia="仿宋_GB2312" w:cs="仿宋_GB2312"/>
          <w:color w:val="auto"/>
          <w:sz w:val="24"/>
          <w:szCs w:val="24"/>
          <w:highlight w:val="none"/>
        </w:rPr>
        <w:t>、乙方应按每三个月为一期的形式向甲方支付租金，本合同签订后</w:t>
      </w:r>
      <w:r>
        <w:rPr>
          <w:rFonts w:hint="eastAsia" w:ascii="仿宋_GB2312" w:hAnsi="宋体" w:eastAsia="仿宋_GB2312" w:cs="仿宋_GB2312"/>
          <w:color w:val="auto"/>
          <w:sz w:val="24"/>
          <w:szCs w:val="24"/>
          <w:highlight w:val="none"/>
          <w:u w:val="single"/>
        </w:rPr>
        <w:t xml:space="preserve">   </w:t>
      </w:r>
      <w:r>
        <w:rPr>
          <w:rFonts w:hint="eastAsia" w:ascii="仿宋_GB2312" w:hAnsi="宋体" w:eastAsia="仿宋_GB2312" w:cs="仿宋_GB2312"/>
          <w:color w:val="auto"/>
          <w:sz w:val="24"/>
          <w:szCs w:val="24"/>
          <w:highlight w:val="none"/>
        </w:rPr>
        <w:t>日内，乙方应交纳首期租金</w:t>
      </w:r>
      <w:r>
        <w:rPr>
          <w:rFonts w:ascii="仿宋_GB2312" w:hAnsi="宋体" w:eastAsia="仿宋_GB2312" w:cs="仿宋_GB2312"/>
          <w:color w:val="auto"/>
          <w:sz w:val="24"/>
          <w:szCs w:val="24"/>
          <w:highlight w:val="none"/>
          <w:u w:val="single"/>
        </w:rPr>
        <w:t xml:space="preserve">   </w:t>
      </w:r>
      <w:r>
        <w:rPr>
          <w:rFonts w:hint="eastAsia" w:ascii="仿宋_GB2312" w:hAnsi="宋体" w:eastAsia="仿宋_GB2312" w:cs="仿宋_GB2312"/>
          <w:color w:val="auto"/>
          <w:sz w:val="24"/>
          <w:szCs w:val="24"/>
          <w:highlight w:val="none"/>
        </w:rPr>
        <w:t>元（大写</w:t>
      </w:r>
      <w:r>
        <w:rPr>
          <w:rFonts w:ascii="仿宋_GB2312" w:hAnsi="宋体" w:eastAsia="仿宋_GB2312" w:cs="仿宋_GB2312"/>
          <w:color w:val="auto"/>
          <w:sz w:val="24"/>
          <w:szCs w:val="24"/>
          <w:highlight w:val="none"/>
        </w:rPr>
        <w:t>:</w:t>
      </w:r>
      <w:r>
        <w:rPr>
          <w:rFonts w:ascii="仿宋_GB2312" w:hAnsi="宋体" w:eastAsia="仿宋_GB2312" w:cs="仿宋_GB2312"/>
          <w:color w:val="auto"/>
          <w:sz w:val="24"/>
          <w:szCs w:val="24"/>
          <w:highlight w:val="none"/>
          <w:u w:val="single"/>
        </w:rPr>
        <w:t xml:space="preserve">      </w:t>
      </w:r>
      <w:r>
        <w:rPr>
          <w:rFonts w:ascii="仿宋_GB2312" w:hAnsi="宋体" w:eastAsia="仿宋_GB2312" w:cs="仿宋_GB2312"/>
          <w:color w:val="auto"/>
          <w:sz w:val="24"/>
          <w:szCs w:val="24"/>
          <w:highlight w:val="none"/>
        </w:rPr>
        <w:t xml:space="preserve"> </w:t>
      </w:r>
      <w:r>
        <w:rPr>
          <w:rFonts w:hint="eastAsia" w:ascii="仿宋_GB2312" w:hAnsi="宋体" w:eastAsia="仿宋_GB2312" w:cs="仿宋_GB2312"/>
          <w:color w:val="auto"/>
          <w:sz w:val="24"/>
          <w:szCs w:val="24"/>
          <w:highlight w:val="none"/>
        </w:rPr>
        <w:t>），从交纳第二期租金开始（</w:t>
      </w:r>
      <w:r>
        <w:rPr>
          <w:rFonts w:ascii="仿宋_GB2312" w:hAnsi="宋体" w:eastAsia="仿宋_GB2312" w:cs="仿宋_GB2312"/>
          <w:color w:val="auto"/>
          <w:sz w:val="24"/>
          <w:szCs w:val="24"/>
          <w:highlight w:val="none"/>
          <w:u w:val="single"/>
        </w:rPr>
        <w:t xml:space="preserve">    </w:t>
      </w:r>
      <w:r>
        <w:rPr>
          <w:rFonts w:hint="eastAsia" w:ascii="仿宋_GB2312" w:hAnsi="宋体" w:eastAsia="仿宋_GB2312" w:cs="仿宋_GB2312"/>
          <w:color w:val="auto"/>
          <w:sz w:val="24"/>
          <w:szCs w:val="24"/>
          <w:highlight w:val="none"/>
        </w:rPr>
        <w:t>年</w:t>
      </w:r>
      <w:r>
        <w:rPr>
          <w:rFonts w:ascii="仿宋_GB2312" w:hAnsi="宋体" w:eastAsia="仿宋_GB2312" w:cs="仿宋_GB2312"/>
          <w:color w:val="auto"/>
          <w:sz w:val="24"/>
          <w:szCs w:val="24"/>
          <w:highlight w:val="none"/>
          <w:u w:val="single"/>
        </w:rPr>
        <w:t xml:space="preserve">   </w:t>
      </w:r>
      <w:r>
        <w:rPr>
          <w:rFonts w:hint="eastAsia" w:ascii="仿宋_GB2312" w:hAnsi="宋体" w:eastAsia="仿宋_GB2312" w:cs="仿宋_GB2312"/>
          <w:color w:val="auto"/>
          <w:sz w:val="24"/>
          <w:szCs w:val="24"/>
          <w:highlight w:val="none"/>
        </w:rPr>
        <w:t>月</w:t>
      </w:r>
      <w:r>
        <w:rPr>
          <w:rFonts w:ascii="仿宋_GB2312" w:hAnsi="宋体" w:eastAsia="仿宋_GB2312" w:cs="仿宋_GB2312"/>
          <w:color w:val="auto"/>
          <w:sz w:val="24"/>
          <w:szCs w:val="24"/>
          <w:highlight w:val="none"/>
          <w:u w:val="single"/>
        </w:rPr>
        <w:t xml:space="preserve">   </w:t>
      </w:r>
      <w:r>
        <w:rPr>
          <w:rFonts w:hint="eastAsia" w:ascii="仿宋_GB2312" w:hAnsi="宋体" w:eastAsia="仿宋_GB2312" w:cs="仿宋_GB2312"/>
          <w:color w:val="auto"/>
          <w:sz w:val="24"/>
          <w:szCs w:val="24"/>
          <w:highlight w:val="none"/>
        </w:rPr>
        <w:t>日，若房屋的实际交付日期与本合同约定的交付日期不一致，以补充协议日期为准）乙方应于每期开始之第一个月份的第</w:t>
      </w:r>
      <w:r>
        <w:rPr>
          <w:rFonts w:hint="eastAsia" w:ascii="仿宋_GB2312" w:hAnsi="宋体" w:eastAsia="仿宋_GB2312" w:cs="仿宋_GB2312"/>
          <w:color w:val="auto"/>
          <w:sz w:val="24"/>
          <w:szCs w:val="24"/>
          <w:highlight w:val="none"/>
          <w:u w:val="single"/>
        </w:rPr>
        <w:t xml:space="preserve"> 五 </w:t>
      </w:r>
      <w:r>
        <w:rPr>
          <w:rFonts w:hint="eastAsia" w:ascii="仿宋_GB2312" w:hAnsi="宋体" w:eastAsia="仿宋_GB2312" w:cs="仿宋_GB2312"/>
          <w:color w:val="auto"/>
          <w:sz w:val="24"/>
          <w:szCs w:val="24"/>
          <w:highlight w:val="none"/>
        </w:rPr>
        <w:t>日前（如遇法定节假日，则相应顺延至法定节假日结束后的第一个工作日）交清该期租金，以此类推。</w:t>
      </w:r>
    </w:p>
    <w:p w14:paraId="1327C302">
      <w:pPr>
        <w:spacing w:before="90" w:after="60"/>
        <w:ind w:firstLine="480" w:firstLineChars="200"/>
        <w:rPr>
          <w:rFonts w:ascii="仿宋_GB2312" w:hAnsi="宋体" w:eastAsia="仿宋_GB2312" w:cs="仿宋_GB2312"/>
          <w:color w:val="auto"/>
          <w:sz w:val="24"/>
          <w:szCs w:val="24"/>
          <w:highlight w:val="none"/>
        </w:rPr>
      </w:pPr>
      <w:r>
        <w:rPr>
          <w:rFonts w:hint="eastAsia" w:ascii="仿宋_GB2312" w:hAnsi="宋体" w:eastAsia="仿宋_GB2312" w:cs="仿宋_GB2312"/>
          <w:color w:val="auto"/>
          <w:sz w:val="24"/>
          <w:szCs w:val="24"/>
          <w:highlight w:val="none"/>
        </w:rPr>
        <w:t>3、本合同约定的租金为含税价格，在合同履行期间，租金不因国家税率的调整而调整。</w:t>
      </w:r>
    </w:p>
    <w:p w14:paraId="050C9406">
      <w:pPr>
        <w:adjustRightInd w:val="0"/>
        <w:snapToGrid w:val="0"/>
        <w:spacing w:before="90" w:after="60"/>
        <w:ind w:firstLine="482" w:firstLineChars="200"/>
        <w:rPr>
          <w:rFonts w:ascii="仿宋_GB2312" w:hAnsi="宋体" w:eastAsia="仿宋_GB2312" w:cs="仿宋_GB2312"/>
          <w:b/>
          <w:bCs/>
          <w:color w:val="auto"/>
          <w:sz w:val="24"/>
          <w:szCs w:val="24"/>
          <w:highlight w:val="none"/>
        </w:rPr>
      </w:pPr>
      <w:r>
        <w:rPr>
          <w:rFonts w:hint="eastAsia" w:ascii="仿宋_GB2312" w:hAnsi="宋体" w:eastAsia="仿宋_GB2312" w:cs="仿宋_GB2312"/>
          <w:b/>
          <w:bCs/>
          <w:color w:val="auto"/>
          <w:sz w:val="24"/>
          <w:szCs w:val="24"/>
          <w:highlight w:val="none"/>
        </w:rPr>
        <w:t>第四条 租赁期间其他相关费用</w:t>
      </w:r>
    </w:p>
    <w:p w14:paraId="32A83208">
      <w:pPr>
        <w:adjustRightInd w:val="0"/>
        <w:snapToGrid w:val="0"/>
        <w:spacing w:before="90" w:after="60"/>
        <w:ind w:firstLine="480" w:firstLineChars="200"/>
        <w:rPr>
          <w:rFonts w:ascii="仿宋_GB2312" w:eastAsia="仿宋_GB2312"/>
          <w:color w:val="auto"/>
          <w:sz w:val="24"/>
          <w:szCs w:val="24"/>
          <w:highlight w:val="none"/>
        </w:rPr>
      </w:pPr>
      <w:r>
        <w:rPr>
          <w:rFonts w:hint="eastAsia" w:ascii="仿宋_GB2312" w:eastAsia="仿宋_GB2312"/>
          <w:color w:val="auto"/>
          <w:sz w:val="24"/>
          <w:szCs w:val="24"/>
          <w:highlight w:val="none"/>
        </w:rPr>
        <w:t>1、租赁期间，除租金外，乙方因租赁厂房产生的一切费用，包括但不限于</w:t>
      </w:r>
      <w:r>
        <w:rPr>
          <w:rFonts w:hint="eastAsia" w:ascii="仿宋_GB2312" w:hAnsi="宋体" w:eastAsia="仿宋_GB2312" w:cs="仿宋_GB2312"/>
          <w:color w:val="auto"/>
          <w:sz w:val="24"/>
          <w:szCs w:val="24"/>
          <w:highlight w:val="none"/>
        </w:rPr>
        <w:t>水电费（含公摊）、</w:t>
      </w:r>
      <w:r>
        <w:rPr>
          <w:rFonts w:hint="eastAsia" w:ascii="仿宋_GB2312" w:eastAsia="仿宋_GB2312"/>
          <w:color w:val="auto"/>
          <w:sz w:val="24"/>
          <w:szCs w:val="24"/>
          <w:highlight w:val="none"/>
        </w:rPr>
        <w:t>燃气费、物业管理费、公共维修金、</w:t>
      </w:r>
      <w:r>
        <w:rPr>
          <w:rFonts w:hint="eastAsia" w:ascii="仿宋_GB2312" w:hAnsi="宋体" w:eastAsia="仿宋_GB2312" w:cs="仿宋_GB2312"/>
          <w:color w:val="auto"/>
          <w:sz w:val="24"/>
          <w:szCs w:val="24"/>
          <w:highlight w:val="none"/>
        </w:rPr>
        <w:t>通讯费用、网络费用</w:t>
      </w:r>
      <w:r>
        <w:rPr>
          <w:rFonts w:hint="eastAsia" w:ascii="仿宋_GB2312" w:eastAsia="仿宋_GB2312"/>
          <w:color w:val="auto"/>
          <w:sz w:val="24"/>
          <w:szCs w:val="24"/>
          <w:highlight w:val="none"/>
        </w:rPr>
        <w:t>以及本合同未列明的其他费用均由乙方自行承担。</w:t>
      </w:r>
    </w:p>
    <w:p w14:paraId="07EDC879">
      <w:pPr>
        <w:spacing w:before="90" w:after="60"/>
        <w:ind w:firstLine="480" w:firstLineChars="200"/>
        <w:rPr>
          <w:rFonts w:ascii="仿宋_GB2312" w:eastAsia="仿宋_GB2312"/>
          <w:color w:val="auto"/>
          <w:sz w:val="24"/>
          <w:szCs w:val="24"/>
          <w:highlight w:val="none"/>
        </w:rPr>
      </w:pPr>
      <w:r>
        <w:rPr>
          <w:rFonts w:hint="eastAsia" w:ascii="仿宋_GB2312" w:eastAsia="仿宋_GB2312"/>
          <w:color w:val="auto"/>
          <w:sz w:val="24"/>
          <w:szCs w:val="24"/>
          <w:highlight w:val="none"/>
        </w:rPr>
        <w:t>2、如租赁厂房有物业公司，乙方应接受物业公司提供的物业管理服务，应</w:t>
      </w:r>
      <w:r>
        <w:rPr>
          <w:rFonts w:hint="eastAsia" w:ascii="仿宋_GB2312" w:hAnsi="宋体" w:eastAsia="仿宋_GB2312" w:cs="仿宋_GB2312"/>
          <w:color w:val="auto"/>
          <w:sz w:val="24"/>
          <w:szCs w:val="24"/>
          <w:highlight w:val="none"/>
        </w:rPr>
        <w:t>签署管理规约、用户手册、装修指南等相关物业管理条约并接受其约束</w:t>
      </w:r>
      <w:r>
        <w:rPr>
          <w:rFonts w:hint="eastAsia" w:ascii="仿宋_GB2312" w:eastAsia="仿宋_GB2312"/>
          <w:color w:val="auto"/>
          <w:sz w:val="24"/>
          <w:szCs w:val="24"/>
          <w:highlight w:val="none"/>
        </w:rPr>
        <w:t>；乙方应</w:t>
      </w:r>
      <w:r>
        <w:rPr>
          <w:rFonts w:hint="eastAsia" w:ascii="仿宋_GB2312" w:hAnsi="宋体" w:eastAsia="仿宋_GB2312" w:cs="仿宋_GB2312"/>
          <w:color w:val="auto"/>
          <w:sz w:val="24"/>
          <w:szCs w:val="24"/>
          <w:highlight w:val="none"/>
        </w:rPr>
        <w:t>依据甲方或物业管理公司的规定按时</w:t>
      </w:r>
      <w:r>
        <w:rPr>
          <w:rFonts w:hint="eastAsia" w:ascii="仿宋_GB2312" w:eastAsia="仿宋_GB2312"/>
          <w:color w:val="auto"/>
          <w:sz w:val="24"/>
          <w:szCs w:val="24"/>
          <w:highlight w:val="none"/>
        </w:rPr>
        <w:t>缴纳物业管理费、公共维修金、水电费</w:t>
      </w:r>
      <w:r>
        <w:rPr>
          <w:rFonts w:hint="eastAsia" w:ascii="仿宋_GB2312" w:hAnsi="宋体" w:eastAsia="仿宋_GB2312" w:cs="仿宋_GB2312"/>
          <w:color w:val="auto"/>
          <w:sz w:val="24"/>
          <w:szCs w:val="24"/>
          <w:highlight w:val="none"/>
        </w:rPr>
        <w:t>（含公摊）</w:t>
      </w:r>
      <w:r>
        <w:rPr>
          <w:rFonts w:hint="eastAsia" w:ascii="仿宋_GB2312" w:eastAsia="仿宋_GB2312"/>
          <w:color w:val="auto"/>
          <w:sz w:val="24"/>
          <w:szCs w:val="24"/>
          <w:highlight w:val="none"/>
        </w:rPr>
        <w:t>等费用，其中</w:t>
      </w:r>
      <w:r>
        <w:rPr>
          <w:rFonts w:hint="eastAsia" w:ascii="仿宋_GB2312" w:hAnsi="宋体" w:eastAsia="仿宋_GB2312" w:cs="仿宋_GB2312"/>
          <w:color w:val="auto"/>
          <w:sz w:val="24"/>
          <w:szCs w:val="24"/>
          <w:highlight w:val="none"/>
        </w:rPr>
        <w:t>物业管理费的收费标准为</w:t>
      </w:r>
      <w:r>
        <w:rPr>
          <w:rFonts w:hint="eastAsia" w:ascii="仿宋_GB2312" w:hAnsi="宋体" w:eastAsia="仿宋_GB2312" w:cs="仿宋_GB2312"/>
          <w:color w:val="auto"/>
          <w:sz w:val="24"/>
          <w:szCs w:val="24"/>
          <w:highlight w:val="none"/>
          <w:u w:val="single"/>
        </w:rPr>
        <w:t xml:space="preserve">       </w:t>
      </w:r>
      <w:r>
        <w:rPr>
          <w:rFonts w:hint="eastAsia" w:ascii="仿宋_GB2312" w:hAnsi="宋体" w:eastAsia="仿宋_GB2312" w:cs="仿宋_GB2312"/>
          <w:color w:val="auto"/>
          <w:sz w:val="24"/>
          <w:szCs w:val="24"/>
          <w:highlight w:val="none"/>
        </w:rPr>
        <w:t>人民币元</w:t>
      </w:r>
      <w:r>
        <w:rPr>
          <w:rFonts w:ascii="仿宋_GB2312" w:hAnsi="宋体" w:eastAsia="仿宋_GB2312" w:cs="仿宋_GB2312"/>
          <w:color w:val="auto"/>
          <w:sz w:val="24"/>
          <w:szCs w:val="24"/>
          <w:highlight w:val="none"/>
        </w:rPr>
        <w:t>/</w:t>
      </w:r>
      <w:r>
        <w:rPr>
          <w:rFonts w:hint="eastAsia" w:ascii="仿宋_GB2312" w:hAnsi="宋体" w:eastAsia="仿宋_GB2312" w:cs="仿宋_GB2312"/>
          <w:color w:val="auto"/>
          <w:sz w:val="24"/>
          <w:szCs w:val="24"/>
          <w:highlight w:val="none"/>
        </w:rPr>
        <w:t>平方米</w:t>
      </w:r>
      <w:r>
        <w:rPr>
          <w:rFonts w:ascii="仿宋_GB2312" w:hAnsi="宋体" w:eastAsia="仿宋_GB2312" w:cs="仿宋_GB2312"/>
          <w:color w:val="auto"/>
          <w:sz w:val="24"/>
          <w:szCs w:val="24"/>
          <w:highlight w:val="none"/>
        </w:rPr>
        <w:t>/</w:t>
      </w:r>
      <w:r>
        <w:rPr>
          <w:rFonts w:hint="eastAsia" w:ascii="仿宋_GB2312" w:hAnsi="宋体" w:eastAsia="仿宋_GB2312" w:cs="仿宋_GB2312"/>
          <w:color w:val="auto"/>
          <w:sz w:val="24"/>
          <w:szCs w:val="24"/>
          <w:highlight w:val="none"/>
        </w:rPr>
        <w:t>月，公共维修金为</w:t>
      </w:r>
      <w:r>
        <w:rPr>
          <w:rFonts w:hint="eastAsia" w:ascii="仿宋_GB2312" w:hAnsi="宋体" w:eastAsia="仿宋_GB2312" w:cs="仿宋_GB2312"/>
          <w:color w:val="auto"/>
          <w:sz w:val="24"/>
          <w:szCs w:val="24"/>
          <w:highlight w:val="none"/>
          <w:u w:val="single"/>
        </w:rPr>
        <w:t xml:space="preserve">     </w:t>
      </w:r>
      <w:r>
        <w:rPr>
          <w:rFonts w:hint="eastAsia" w:ascii="仿宋_GB2312" w:hAnsi="宋体" w:eastAsia="仿宋_GB2312" w:cs="仿宋_GB2312"/>
          <w:color w:val="auto"/>
          <w:sz w:val="24"/>
          <w:szCs w:val="24"/>
          <w:highlight w:val="none"/>
        </w:rPr>
        <w:t>人民币元</w:t>
      </w:r>
      <w:r>
        <w:rPr>
          <w:rFonts w:ascii="仿宋_GB2312" w:hAnsi="宋体" w:eastAsia="仿宋_GB2312" w:cs="仿宋_GB2312"/>
          <w:color w:val="auto"/>
          <w:sz w:val="24"/>
          <w:szCs w:val="24"/>
          <w:highlight w:val="none"/>
        </w:rPr>
        <w:t>/</w:t>
      </w:r>
      <w:r>
        <w:rPr>
          <w:rFonts w:hint="eastAsia" w:ascii="仿宋_GB2312" w:hAnsi="宋体" w:eastAsia="仿宋_GB2312" w:cs="仿宋_GB2312"/>
          <w:color w:val="auto"/>
          <w:sz w:val="24"/>
          <w:szCs w:val="24"/>
          <w:highlight w:val="none"/>
        </w:rPr>
        <w:t>平方米</w:t>
      </w:r>
      <w:r>
        <w:rPr>
          <w:rFonts w:ascii="仿宋_GB2312" w:hAnsi="宋体" w:eastAsia="仿宋_GB2312" w:cs="仿宋_GB2312"/>
          <w:color w:val="auto"/>
          <w:sz w:val="24"/>
          <w:szCs w:val="24"/>
          <w:highlight w:val="none"/>
        </w:rPr>
        <w:t>/</w:t>
      </w:r>
      <w:r>
        <w:rPr>
          <w:rFonts w:hint="eastAsia" w:ascii="仿宋_GB2312" w:hAnsi="宋体" w:eastAsia="仿宋_GB2312" w:cs="仿宋_GB2312"/>
          <w:color w:val="auto"/>
          <w:sz w:val="24"/>
          <w:szCs w:val="24"/>
          <w:highlight w:val="none"/>
        </w:rPr>
        <w:t>月，水电费的的收费标准以相关核算规定为准。上述费用按照甲方的安排支付给甲方或物业管理公司，今后上述费用的调整和缴纳方式按甲方或物业管理公司的统一规定为准。</w:t>
      </w:r>
    </w:p>
    <w:p w14:paraId="0CAD00F8">
      <w:pPr>
        <w:adjustRightInd w:val="0"/>
        <w:snapToGrid w:val="0"/>
        <w:spacing w:before="90" w:after="60"/>
        <w:ind w:firstLine="480" w:firstLineChars="200"/>
        <w:rPr>
          <w:rFonts w:ascii="仿宋_GB2312" w:eastAsia="仿宋_GB2312"/>
          <w:color w:val="auto"/>
          <w:sz w:val="24"/>
          <w:szCs w:val="24"/>
          <w:highlight w:val="none"/>
        </w:rPr>
      </w:pPr>
      <w:r>
        <w:rPr>
          <w:rFonts w:hint="eastAsia" w:ascii="仿宋_GB2312" w:eastAsia="仿宋_GB2312"/>
          <w:color w:val="auto"/>
          <w:sz w:val="24"/>
          <w:szCs w:val="24"/>
          <w:highlight w:val="none"/>
        </w:rPr>
        <w:t>3、乙方应依照相关单位的规定按时缴交各项费用，若有拖欠，所造成的后果由乙方自行负责，若因此而造成甲方损失，乙方应负责赔偿。</w:t>
      </w:r>
    </w:p>
    <w:p w14:paraId="1E05359F">
      <w:pPr>
        <w:adjustRightInd w:val="0"/>
        <w:snapToGrid w:val="0"/>
        <w:spacing w:before="90" w:after="60"/>
        <w:ind w:firstLine="480" w:firstLineChars="200"/>
        <w:rPr>
          <w:rFonts w:ascii="仿宋_GB2312" w:eastAsia="仿宋_GB2312"/>
          <w:color w:val="auto"/>
          <w:sz w:val="24"/>
          <w:szCs w:val="24"/>
          <w:highlight w:val="none"/>
        </w:rPr>
      </w:pPr>
      <w:r>
        <w:rPr>
          <w:rFonts w:hint="eastAsia" w:ascii="仿宋_GB2312" w:eastAsia="仿宋_GB2312"/>
          <w:color w:val="auto"/>
          <w:sz w:val="24"/>
          <w:szCs w:val="24"/>
          <w:highlight w:val="none"/>
        </w:rPr>
        <w:t>4、若采取由甲方代缴方式的，乙方应在收到甲方缴费通知之日后三日内向甲方足额支付有关费用。</w:t>
      </w:r>
    </w:p>
    <w:p w14:paraId="3AD1593E">
      <w:pPr>
        <w:adjustRightInd w:val="0"/>
        <w:snapToGrid w:val="0"/>
        <w:spacing w:before="90" w:after="60"/>
        <w:ind w:firstLine="482" w:firstLineChars="200"/>
        <w:rPr>
          <w:rFonts w:ascii="仿宋_GB2312" w:hAnsi="宋体" w:eastAsia="仿宋_GB2312" w:cs="仿宋_GB2312"/>
          <w:b/>
          <w:bCs/>
          <w:color w:val="auto"/>
          <w:sz w:val="24"/>
          <w:szCs w:val="24"/>
          <w:highlight w:val="none"/>
        </w:rPr>
      </w:pPr>
      <w:r>
        <w:rPr>
          <w:rFonts w:hint="eastAsia" w:ascii="仿宋_GB2312" w:hAnsi="宋体" w:eastAsia="仿宋_GB2312" w:cs="仿宋_GB2312"/>
          <w:b/>
          <w:bCs/>
          <w:color w:val="auto"/>
          <w:sz w:val="24"/>
          <w:szCs w:val="24"/>
          <w:highlight w:val="none"/>
        </w:rPr>
        <w:t>第五条 相关保证金</w:t>
      </w:r>
    </w:p>
    <w:p w14:paraId="68C8DAC3">
      <w:pPr>
        <w:adjustRightInd w:val="0"/>
        <w:snapToGrid w:val="0"/>
        <w:spacing w:before="90" w:after="60" w:line="276" w:lineRule="auto"/>
        <w:ind w:firstLine="480" w:firstLineChars="200"/>
        <w:rPr>
          <w:rFonts w:ascii="仿宋_GB2312" w:eastAsia="仿宋_GB2312"/>
          <w:color w:val="auto"/>
          <w:sz w:val="24"/>
          <w:szCs w:val="24"/>
          <w:highlight w:val="none"/>
        </w:rPr>
      </w:pPr>
      <w:r>
        <w:rPr>
          <w:rFonts w:hint="eastAsia" w:ascii="仿宋_GB2312" w:eastAsia="仿宋_GB2312"/>
          <w:color w:val="auto"/>
          <w:sz w:val="24"/>
          <w:szCs w:val="24"/>
          <w:highlight w:val="none"/>
        </w:rPr>
        <w:t>1、本合同签订后</w:t>
      </w:r>
      <w:r>
        <w:rPr>
          <w:rFonts w:hint="eastAsia" w:ascii="仿宋_GB2312" w:eastAsia="仿宋_GB2312"/>
          <w:color w:val="auto"/>
          <w:sz w:val="24"/>
          <w:szCs w:val="24"/>
          <w:highlight w:val="none"/>
          <w:u w:val="single"/>
        </w:rPr>
        <w:t xml:space="preserve">   </w:t>
      </w:r>
      <w:r>
        <w:rPr>
          <w:rFonts w:hint="eastAsia" w:ascii="仿宋_GB2312" w:eastAsia="仿宋_GB2312"/>
          <w:color w:val="auto"/>
          <w:sz w:val="24"/>
          <w:szCs w:val="24"/>
          <w:highlight w:val="none"/>
        </w:rPr>
        <w:t>个工作日内，乙方应一次性向甲方交纳履约保证金人民币</w:t>
      </w:r>
      <w:r>
        <w:rPr>
          <w:rFonts w:hint="eastAsia" w:ascii="仿宋_GB2312" w:eastAsia="仿宋_GB2312"/>
          <w:color w:val="auto"/>
          <w:sz w:val="24"/>
          <w:szCs w:val="24"/>
          <w:highlight w:val="none"/>
          <w:u w:val="single"/>
        </w:rPr>
        <w:t xml:space="preserve">     </w:t>
      </w:r>
      <w:r>
        <w:rPr>
          <w:rFonts w:hint="eastAsia" w:ascii="仿宋_GB2312" w:eastAsia="仿宋_GB2312"/>
          <w:color w:val="auto"/>
          <w:sz w:val="24"/>
          <w:szCs w:val="24"/>
          <w:highlight w:val="none"/>
        </w:rPr>
        <w:t>元（大写:</w:t>
      </w:r>
      <w:r>
        <w:rPr>
          <w:rFonts w:hint="eastAsia" w:ascii="仿宋_GB2312" w:eastAsia="仿宋_GB2312"/>
          <w:color w:val="auto"/>
          <w:sz w:val="24"/>
          <w:szCs w:val="24"/>
          <w:highlight w:val="none"/>
          <w:u w:val="single"/>
        </w:rPr>
        <w:t xml:space="preserve">              </w:t>
      </w:r>
      <w:r>
        <w:rPr>
          <w:rFonts w:hint="eastAsia" w:ascii="仿宋_GB2312" w:eastAsia="仿宋_GB2312"/>
          <w:color w:val="auto"/>
          <w:sz w:val="24"/>
          <w:szCs w:val="24"/>
          <w:highlight w:val="none"/>
        </w:rPr>
        <w:t>元整），此为本合同生效之必要条件，逾期交纳视为乙方放弃承租，甲方有权将租赁厂房出租给其他第三方。乙方原缴交至</w:t>
      </w:r>
      <w:r>
        <w:rPr>
          <w:rFonts w:hint="eastAsia" w:ascii="仿宋_GB2312" w:eastAsia="仿宋_GB2312"/>
          <w:color w:val="auto"/>
          <w:sz w:val="24"/>
          <w:szCs w:val="24"/>
          <w:highlight w:val="none"/>
          <w:u w:val="single"/>
        </w:rPr>
        <w:t xml:space="preserve">     </w:t>
      </w:r>
      <w:r>
        <w:rPr>
          <w:rFonts w:hint="eastAsia" w:ascii="仿宋_GB2312" w:eastAsia="仿宋_GB2312"/>
          <w:color w:val="auto"/>
          <w:sz w:val="24"/>
          <w:szCs w:val="24"/>
          <w:highlight w:val="none"/>
        </w:rPr>
        <w:t>的竞租保证金人民币</w:t>
      </w:r>
      <w:r>
        <w:rPr>
          <w:rFonts w:hint="eastAsia" w:ascii="仿宋_GB2312" w:eastAsia="仿宋_GB2312"/>
          <w:color w:val="auto"/>
          <w:sz w:val="24"/>
          <w:szCs w:val="24"/>
          <w:highlight w:val="none"/>
          <w:u w:val="single"/>
        </w:rPr>
        <w:t xml:space="preserve">     </w:t>
      </w:r>
      <w:r>
        <w:rPr>
          <w:rFonts w:hint="eastAsia" w:ascii="仿宋_GB2312" w:eastAsia="仿宋_GB2312"/>
          <w:color w:val="auto"/>
          <w:sz w:val="24"/>
          <w:szCs w:val="24"/>
          <w:highlight w:val="none"/>
        </w:rPr>
        <w:t>元（大写:</w:t>
      </w:r>
      <w:r>
        <w:rPr>
          <w:rFonts w:hint="eastAsia" w:ascii="仿宋_GB2312" w:eastAsia="仿宋_GB2312"/>
          <w:color w:val="auto"/>
          <w:sz w:val="24"/>
          <w:szCs w:val="24"/>
          <w:highlight w:val="none"/>
          <w:u w:val="single"/>
        </w:rPr>
        <w:t xml:space="preserve">         </w:t>
      </w:r>
      <w:r>
        <w:rPr>
          <w:rFonts w:hint="eastAsia" w:ascii="仿宋_GB2312" w:eastAsia="仿宋_GB2312"/>
          <w:color w:val="auto"/>
          <w:sz w:val="24"/>
          <w:szCs w:val="24"/>
          <w:highlight w:val="none"/>
        </w:rPr>
        <w:t>元整）自动转为本合同履约保证金，超出部分人民币</w:t>
      </w:r>
      <w:r>
        <w:rPr>
          <w:rFonts w:hint="eastAsia" w:ascii="仿宋_GB2312" w:eastAsia="仿宋_GB2312"/>
          <w:color w:val="auto"/>
          <w:sz w:val="24"/>
          <w:szCs w:val="24"/>
          <w:highlight w:val="none"/>
          <w:u w:val="single"/>
        </w:rPr>
        <w:t xml:space="preserve">     </w:t>
      </w:r>
      <w:r>
        <w:rPr>
          <w:rFonts w:hint="eastAsia" w:ascii="仿宋_GB2312" w:eastAsia="仿宋_GB2312"/>
          <w:color w:val="auto"/>
          <w:sz w:val="24"/>
          <w:szCs w:val="24"/>
          <w:highlight w:val="none"/>
        </w:rPr>
        <w:t>元转为首期租金</w:t>
      </w:r>
      <w:r>
        <w:rPr>
          <w:rFonts w:hint="eastAsia" w:ascii="仿宋_GB2312" w:hAnsi="宋体" w:eastAsia="仿宋_GB2312" w:cs="仿宋_GB2312"/>
          <w:color w:val="auto"/>
          <w:sz w:val="24"/>
          <w:szCs w:val="24"/>
          <w:highlight w:val="none"/>
        </w:rPr>
        <w:t>（选择性条款）</w:t>
      </w:r>
      <w:r>
        <w:rPr>
          <w:rFonts w:hint="eastAsia" w:ascii="仿宋_GB2312" w:eastAsia="仿宋_GB2312"/>
          <w:color w:val="auto"/>
          <w:sz w:val="24"/>
          <w:szCs w:val="24"/>
          <w:highlight w:val="none"/>
        </w:rPr>
        <w:t>。</w:t>
      </w:r>
    </w:p>
    <w:p w14:paraId="5C026BAD">
      <w:pPr>
        <w:adjustRightInd w:val="0"/>
        <w:snapToGrid w:val="0"/>
        <w:spacing w:before="90" w:after="60"/>
        <w:ind w:firstLine="480" w:firstLineChars="200"/>
        <w:rPr>
          <w:rFonts w:ascii="仿宋_GB2312" w:eastAsia="仿宋_GB2312"/>
          <w:color w:val="auto"/>
          <w:sz w:val="24"/>
          <w:szCs w:val="24"/>
          <w:highlight w:val="none"/>
        </w:rPr>
      </w:pPr>
      <w:r>
        <w:rPr>
          <w:rFonts w:hint="eastAsia" w:ascii="仿宋_GB2312" w:eastAsia="仿宋_GB2312"/>
          <w:color w:val="auto"/>
          <w:sz w:val="24"/>
          <w:szCs w:val="24"/>
          <w:highlight w:val="none"/>
        </w:rPr>
        <w:t>2、</w:t>
      </w:r>
      <w:r>
        <w:rPr>
          <w:rFonts w:hint="eastAsia" w:ascii="仿宋_GB2312" w:hAnsi="宋体" w:eastAsia="仿宋_GB2312" w:cs="仿宋_GB2312"/>
          <w:color w:val="auto"/>
          <w:sz w:val="24"/>
          <w:szCs w:val="24"/>
          <w:highlight w:val="none"/>
        </w:rPr>
        <w:t>若本合同解除、终止或者期满未续租的，</w:t>
      </w:r>
      <w:r>
        <w:rPr>
          <w:rFonts w:hint="eastAsia" w:ascii="仿宋_GB2312" w:eastAsia="仿宋_GB2312"/>
          <w:color w:val="auto"/>
          <w:sz w:val="24"/>
          <w:szCs w:val="24"/>
          <w:highlight w:val="none"/>
        </w:rPr>
        <w:t>乙方无违约并如期将租赁厂房完整无损交还给甲方，且乙方已向有关部门办理完毕登记在租赁厂房项下的工商、税务等住所登记或经营场所备案等迁移或撤销手续后，甲方可将履约保证金余额无息退还乙方。乙方超过30日未完成以上要求的，甲方有权不予退还履约保证金。</w:t>
      </w:r>
    </w:p>
    <w:p w14:paraId="4C5109D9">
      <w:pPr>
        <w:adjustRightInd w:val="0"/>
        <w:snapToGrid w:val="0"/>
        <w:spacing w:before="90" w:after="60"/>
        <w:ind w:firstLine="480" w:firstLineChars="200"/>
        <w:rPr>
          <w:rFonts w:ascii="仿宋_GB2312" w:eastAsia="仿宋_GB2312"/>
          <w:color w:val="auto"/>
          <w:sz w:val="24"/>
          <w:szCs w:val="24"/>
          <w:highlight w:val="none"/>
        </w:rPr>
      </w:pPr>
      <w:r>
        <w:rPr>
          <w:rFonts w:hint="eastAsia" w:ascii="仿宋_GB2312" w:eastAsia="仿宋_GB2312"/>
          <w:color w:val="auto"/>
          <w:sz w:val="24"/>
          <w:szCs w:val="24"/>
          <w:highlight w:val="none"/>
        </w:rPr>
        <w:t>3、合同到期或非因本合同第十一条第3款的情形导致合同提前终止，乙方拖欠租金、违约金、赔偿金和其他相关费用，甲方有权从乙方所缴交的履约保证金中直接抵扣，不足部分乙方还需向甲方缴交。</w:t>
      </w:r>
    </w:p>
    <w:p w14:paraId="77DD7DB0">
      <w:pPr>
        <w:adjustRightInd w:val="0"/>
        <w:snapToGrid w:val="0"/>
        <w:spacing w:before="90" w:after="60" w:line="276" w:lineRule="auto"/>
        <w:ind w:firstLine="480" w:firstLineChars="200"/>
        <w:rPr>
          <w:rFonts w:ascii="仿宋_GB2312" w:eastAsia="仿宋_GB2312"/>
          <w:color w:val="auto"/>
          <w:sz w:val="24"/>
          <w:szCs w:val="24"/>
          <w:highlight w:val="none"/>
        </w:rPr>
      </w:pPr>
      <w:r>
        <w:rPr>
          <w:rFonts w:hint="eastAsia" w:ascii="仿宋_GB2312" w:eastAsia="仿宋_GB2312"/>
          <w:color w:val="auto"/>
          <w:sz w:val="24"/>
          <w:szCs w:val="24"/>
          <w:highlight w:val="none"/>
        </w:rPr>
        <w:t>4、</w:t>
      </w:r>
      <w:r>
        <w:rPr>
          <w:rFonts w:hint="eastAsia" w:ascii="仿宋_GB2312" w:hAnsi="宋体" w:eastAsia="仿宋_GB2312" w:cs="仿宋_GB2312"/>
          <w:color w:val="auto"/>
          <w:sz w:val="24"/>
          <w:szCs w:val="24"/>
          <w:highlight w:val="none"/>
        </w:rPr>
        <w:t>本合同签订后</w:t>
      </w:r>
      <w:r>
        <w:rPr>
          <w:rFonts w:hint="eastAsia" w:ascii="仿宋_GB2312" w:eastAsia="仿宋_GB2312"/>
          <w:color w:val="auto"/>
          <w:sz w:val="24"/>
          <w:szCs w:val="24"/>
          <w:highlight w:val="none"/>
          <w:u w:val="single"/>
        </w:rPr>
        <w:t xml:space="preserve">   </w:t>
      </w:r>
      <w:r>
        <w:rPr>
          <w:rFonts w:hint="eastAsia" w:ascii="仿宋_GB2312" w:eastAsia="仿宋_GB2312"/>
          <w:color w:val="auto"/>
          <w:sz w:val="24"/>
          <w:szCs w:val="24"/>
          <w:highlight w:val="none"/>
        </w:rPr>
        <w:t>个工作日内，乙方应一次性向</w:t>
      </w:r>
      <w:r>
        <w:rPr>
          <w:rFonts w:hint="eastAsia" w:ascii="仿宋_GB2312" w:hAnsi="宋体" w:eastAsia="仿宋_GB2312" w:cs="仿宋_GB2312"/>
          <w:color w:val="auto"/>
          <w:sz w:val="24"/>
          <w:szCs w:val="24"/>
          <w:highlight w:val="none"/>
        </w:rPr>
        <w:t>甲方或物业管理公司缴交水电费保证金</w:t>
      </w:r>
      <w:r>
        <w:rPr>
          <w:rFonts w:hint="eastAsia" w:ascii="仿宋_GB2312" w:eastAsia="仿宋_GB2312"/>
          <w:color w:val="auto"/>
          <w:sz w:val="24"/>
          <w:szCs w:val="24"/>
          <w:highlight w:val="none"/>
          <w:u w:val="single"/>
        </w:rPr>
        <w:t xml:space="preserve">     </w:t>
      </w:r>
      <w:r>
        <w:rPr>
          <w:rFonts w:hint="eastAsia" w:ascii="仿宋_GB2312" w:eastAsia="仿宋_GB2312"/>
          <w:color w:val="auto"/>
          <w:sz w:val="24"/>
          <w:szCs w:val="24"/>
          <w:highlight w:val="none"/>
        </w:rPr>
        <w:t>元（大写:</w:t>
      </w:r>
      <w:r>
        <w:rPr>
          <w:rFonts w:hint="eastAsia" w:ascii="仿宋_GB2312" w:eastAsia="仿宋_GB2312"/>
          <w:color w:val="auto"/>
          <w:sz w:val="24"/>
          <w:szCs w:val="24"/>
          <w:highlight w:val="none"/>
          <w:u w:val="single"/>
        </w:rPr>
        <w:t xml:space="preserve">              </w:t>
      </w:r>
      <w:r>
        <w:rPr>
          <w:rFonts w:hint="eastAsia" w:ascii="仿宋_GB2312" w:eastAsia="仿宋_GB2312"/>
          <w:color w:val="auto"/>
          <w:sz w:val="24"/>
          <w:szCs w:val="24"/>
          <w:highlight w:val="none"/>
        </w:rPr>
        <w:t>元整）</w:t>
      </w:r>
      <w:r>
        <w:rPr>
          <w:rFonts w:hint="eastAsia" w:ascii="仿宋_GB2312" w:hAnsi="宋体" w:eastAsia="仿宋_GB2312" w:cs="仿宋_GB2312"/>
          <w:color w:val="auto"/>
          <w:sz w:val="24"/>
          <w:szCs w:val="24"/>
          <w:highlight w:val="none"/>
        </w:rPr>
        <w:t>，如水电费保证金少于乙方1个月水、电费总金额的，乙方应当按前述两者的差额补足，另行支付给甲方或物业管理公司。</w:t>
      </w:r>
    </w:p>
    <w:p w14:paraId="63DA25FD">
      <w:pPr>
        <w:adjustRightInd w:val="0"/>
        <w:snapToGrid w:val="0"/>
        <w:spacing w:before="90" w:after="60"/>
        <w:ind w:firstLine="482" w:firstLineChars="200"/>
        <w:rPr>
          <w:rFonts w:ascii="仿宋_GB2312" w:hAnsi="宋体" w:eastAsia="仿宋_GB2312" w:cs="仿宋_GB2312"/>
          <w:b/>
          <w:bCs/>
          <w:color w:val="auto"/>
          <w:sz w:val="24"/>
          <w:szCs w:val="24"/>
          <w:highlight w:val="none"/>
        </w:rPr>
      </w:pPr>
      <w:r>
        <w:rPr>
          <w:rFonts w:hint="eastAsia" w:ascii="仿宋_GB2312" w:hAnsi="宋体" w:eastAsia="仿宋_GB2312" w:cs="仿宋_GB2312"/>
          <w:b/>
          <w:bCs/>
          <w:color w:val="auto"/>
          <w:sz w:val="24"/>
          <w:szCs w:val="24"/>
          <w:highlight w:val="none"/>
        </w:rPr>
        <w:t>第六条 付款方式</w:t>
      </w:r>
    </w:p>
    <w:p w14:paraId="5F009F3D">
      <w:pPr>
        <w:spacing w:before="90" w:after="60"/>
        <w:ind w:firstLine="480" w:firstLineChars="200"/>
        <w:rPr>
          <w:rFonts w:ascii="仿宋_GB2312" w:hAnsi="宋体" w:eastAsia="仿宋_GB2312" w:cs="仿宋_GB2312"/>
          <w:color w:val="auto"/>
          <w:sz w:val="24"/>
          <w:szCs w:val="24"/>
          <w:highlight w:val="none"/>
        </w:rPr>
      </w:pPr>
      <w:r>
        <w:rPr>
          <w:rFonts w:hint="eastAsia" w:ascii="仿宋_GB2312" w:hAnsi="宋体" w:eastAsia="仿宋_GB2312" w:cs="仿宋_GB2312"/>
          <w:color w:val="auto"/>
          <w:sz w:val="24"/>
          <w:szCs w:val="24"/>
          <w:highlight w:val="none"/>
        </w:rPr>
        <w:t>1、乙方依约定应付的租金、租赁期内其他相关费用、履约保证金及其他与甲方往来的款项以转账或委托银行代扣的方式向甲方履行。</w:t>
      </w:r>
    </w:p>
    <w:p w14:paraId="686C4CDB">
      <w:pPr>
        <w:spacing w:before="90" w:after="60"/>
        <w:ind w:firstLine="480" w:firstLineChars="200"/>
        <w:rPr>
          <w:rFonts w:ascii="仿宋_GB2312" w:hAnsi="宋体" w:eastAsia="仿宋_GB2312"/>
          <w:color w:val="auto"/>
          <w:sz w:val="24"/>
          <w:szCs w:val="24"/>
          <w:highlight w:val="none"/>
        </w:rPr>
      </w:pPr>
      <w:r>
        <w:rPr>
          <w:rFonts w:hint="eastAsia" w:ascii="仿宋_GB2312" w:hAnsi="宋体" w:eastAsia="仿宋_GB2312" w:cs="仿宋_GB2312"/>
          <w:color w:val="auto"/>
          <w:sz w:val="24"/>
          <w:szCs w:val="24"/>
          <w:highlight w:val="none"/>
        </w:rPr>
        <w:t>2、乙方使用转账的方式支付租金、履约保证金及其他与甲方往来款项的账户如下：</w:t>
      </w:r>
    </w:p>
    <w:tbl>
      <w:tblPr>
        <w:tblStyle w:val="15"/>
        <w:tblW w:w="85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71"/>
        <w:gridCol w:w="6133"/>
      </w:tblGrid>
      <w:tr w14:paraId="6B820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2371" w:type="dxa"/>
            <w:vAlign w:val="center"/>
          </w:tcPr>
          <w:p w14:paraId="282FD4D5">
            <w:pPr>
              <w:spacing w:before="90" w:after="60"/>
              <w:rPr>
                <w:rFonts w:ascii="仿宋_GB2312" w:hAnsi="宋体" w:eastAsia="仿宋_GB2312"/>
                <w:color w:val="auto"/>
                <w:sz w:val="24"/>
                <w:szCs w:val="24"/>
                <w:highlight w:val="none"/>
              </w:rPr>
            </w:pPr>
            <w:r>
              <w:rPr>
                <w:rFonts w:hint="eastAsia" w:ascii="仿宋_GB2312" w:hAnsi="宋体" w:eastAsia="仿宋_GB2312" w:cs="仿宋_GB2312"/>
                <w:color w:val="auto"/>
                <w:sz w:val="24"/>
                <w:szCs w:val="24"/>
                <w:highlight w:val="none"/>
              </w:rPr>
              <w:t>开户名称（收款人）</w:t>
            </w:r>
          </w:p>
        </w:tc>
        <w:tc>
          <w:tcPr>
            <w:tcW w:w="6133" w:type="dxa"/>
            <w:vAlign w:val="center"/>
          </w:tcPr>
          <w:p w14:paraId="1ADF1D97">
            <w:pPr>
              <w:spacing w:before="90" w:after="60"/>
              <w:rPr>
                <w:rFonts w:ascii="仿宋_GB2312" w:hAnsi="宋体" w:eastAsia="仿宋_GB2312"/>
                <w:color w:val="auto"/>
                <w:sz w:val="24"/>
                <w:szCs w:val="24"/>
                <w:highlight w:val="none"/>
              </w:rPr>
            </w:pPr>
          </w:p>
        </w:tc>
      </w:tr>
      <w:tr w14:paraId="0FCDB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2371" w:type="dxa"/>
            <w:vAlign w:val="center"/>
          </w:tcPr>
          <w:p w14:paraId="27CF3CBA">
            <w:pPr>
              <w:spacing w:before="90" w:after="60"/>
              <w:rPr>
                <w:rFonts w:ascii="仿宋_GB2312" w:hAnsi="宋体" w:eastAsia="仿宋_GB2312"/>
                <w:color w:val="auto"/>
                <w:sz w:val="24"/>
                <w:szCs w:val="24"/>
                <w:highlight w:val="none"/>
              </w:rPr>
            </w:pPr>
            <w:r>
              <w:rPr>
                <w:rFonts w:hint="eastAsia" w:ascii="仿宋_GB2312" w:hAnsi="宋体" w:eastAsia="仿宋_GB2312" w:cs="仿宋_GB2312"/>
                <w:color w:val="auto"/>
                <w:sz w:val="24"/>
                <w:szCs w:val="24"/>
                <w:highlight w:val="none"/>
              </w:rPr>
              <w:t>开户行</w:t>
            </w:r>
          </w:p>
        </w:tc>
        <w:tc>
          <w:tcPr>
            <w:tcW w:w="6133" w:type="dxa"/>
            <w:vAlign w:val="center"/>
          </w:tcPr>
          <w:p w14:paraId="794ADE2C">
            <w:pPr>
              <w:spacing w:before="90" w:after="60"/>
              <w:rPr>
                <w:rFonts w:ascii="仿宋_GB2312" w:hAnsi="宋体" w:eastAsia="仿宋_GB2312"/>
                <w:color w:val="auto"/>
                <w:sz w:val="24"/>
                <w:szCs w:val="24"/>
                <w:highlight w:val="none"/>
              </w:rPr>
            </w:pPr>
          </w:p>
        </w:tc>
      </w:tr>
      <w:tr w14:paraId="7CAD1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2371" w:type="dxa"/>
            <w:vAlign w:val="center"/>
          </w:tcPr>
          <w:p w14:paraId="09D706AB">
            <w:pPr>
              <w:spacing w:before="90" w:after="60"/>
              <w:rPr>
                <w:rFonts w:ascii="仿宋_GB2312" w:hAnsi="宋体" w:eastAsia="仿宋_GB2312"/>
                <w:color w:val="auto"/>
                <w:sz w:val="24"/>
                <w:szCs w:val="24"/>
                <w:highlight w:val="none"/>
              </w:rPr>
            </w:pPr>
            <w:r>
              <w:rPr>
                <w:rFonts w:hint="eastAsia" w:ascii="仿宋_GB2312" w:hAnsi="宋体" w:eastAsia="仿宋_GB2312" w:cs="仿宋_GB2312"/>
                <w:color w:val="auto"/>
                <w:sz w:val="24"/>
                <w:szCs w:val="24"/>
                <w:highlight w:val="none"/>
              </w:rPr>
              <w:t>帐 号</w:t>
            </w:r>
          </w:p>
        </w:tc>
        <w:tc>
          <w:tcPr>
            <w:tcW w:w="6133" w:type="dxa"/>
            <w:vAlign w:val="center"/>
          </w:tcPr>
          <w:p w14:paraId="5E55DC98">
            <w:pPr>
              <w:spacing w:before="90" w:after="60"/>
              <w:rPr>
                <w:rFonts w:ascii="仿宋_GB2312" w:hAnsi="宋体" w:eastAsia="仿宋_GB2312" w:cs="仿宋_GB2312"/>
                <w:color w:val="auto"/>
                <w:sz w:val="24"/>
                <w:szCs w:val="24"/>
                <w:highlight w:val="none"/>
              </w:rPr>
            </w:pPr>
          </w:p>
        </w:tc>
      </w:tr>
    </w:tbl>
    <w:p w14:paraId="0D863418">
      <w:pPr>
        <w:spacing w:before="90" w:after="60"/>
        <w:ind w:firstLine="480" w:firstLineChars="200"/>
        <w:rPr>
          <w:rFonts w:ascii="仿宋_GB2312" w:hAnsi="宋体" w:eastAsia="仿宋_GB2312" w:cs="仿宋_GB2312"/>
          <w:color w:val="auto"/>
          <w:sz w:val="24"/>
          <w:szCs w:val="24"/>
          <w:highlight w:val="none"/>
        </w:rPr>
      </w:pPr>
      <w:r>
        <w:rPr>
          <w:rFonts w:hint="eastAsia" w:ascii="仿宋_GB2312" w:hAnsi="宋体" w:eastAsia="仿宋_GB2312" w:cs="仿宋_GB2312"/>
          <w:color w:val="auto"/>
          <w:sz w:val="24"/>
          <w:szCs w:val="24"/>
          <w:highlight w:val="none"/>
        </w:rPr>
        <w:t>乙方应以自己的名义支付。若乙方需要委托其他单位或个人代交租金，一律应在租金交纳前向甲方出具统一格式的书面代付款声明（此种情况不能推定乙方转租其他单位或个人），否则甲方可以以无法认定所收款项为由，视乙方未支付前述款项。</w:t>
      </w:r>
    </w:p>
    <w:p w14:paraId="34C54D81">
      <w:pPr>
        <w:spacing w:before="90" w:after="60"/>
        <w:ind w:firstLine="480" w:firstLineChars="200"/>
        <w:rPr>
          <w:rFonts w:ascii="仿宋_GB2312" w:hAnsi="宋体" w:eastAsia="仿宋_GB2312" w:cs="仿宋_GB2312"/>
          <w:color w:val="auto"/>
          <w:sz w:val="24"/>
          <w:szCs w:val="24"/>
          <w:highlight w:val="none"/>
        </w:rPr>
      </w:pPr>
      <w:r>
        <w:rPr>
          <w:rFonts w:hint="eastAsia" w:ascii="仿宋_GB2312" w:hAnsi="宋体" w:eastAsia="仿宋_GB2312" w:cs="仿宋_GB2312"/>
          <w:color w:val="auto"/>
          <w:sz w:val="24"/>
          <w:szCs w:val="24"/>
          <w:highlight w:val="none"/>
        </w:rPr>
        <w:t>3、在委托扣款期间，如乙方提供的代扣账户发生挂失、销户、冻结、止付等情况，乙方应以书面形式及时向甲方提供新的代扣账户，否则，因不提供新账户或提供不及时导致代扣不成功的，乙方承担相应的责任。</w:t>
      </w:r>
    </w:p>
    <w:p w14:paraId="176B94A9">
      <w:pPr>
        <w:spacing w:before="90" w:after="60"/>
        <w:ind w:firstLine="480" w:firstLineChars="200"/>
        <w:rPr>
          <w:rFonts w:ascii="仿宋_GB2312" w:hAnsi="宋体" w:eastAsia="仿宋_GB2312" w:cs="仿宋_GB2312"/>
          <w:color w:val="auto"/>
          <w:sz w:val="24"/>
          <w:szCs w:val="24"/>
          <w:highlight w:val="none"/>
        </w:rPr>
      </w:pPr>
      <w:r>
        <w:rPr>
          <w:rFonts w:hint="eastAsia" w:ascii="仿宋_GB2312" w:hAnsi="宋体" w:eastAsia="仿宋_GB2312" w:cs="仿宋_GB2312"/>
          <w:color w:val="auto"/>
          <w:sz w:val="24"/>
          <w:szCs w:val="24"/>
          <w:highlight w:val="none"/>
        </w:rPr>
        <w:t>4、对于乙方所付款项，乙方同意甲方按“以季度为单位，先扣抵应缴租金，后扣抵应缴违约金”的方式扣缴。</w:t>
      </w:r>
    </w:p>
    <w:p w14:paraId="4A69AB2B">
      <w:pPr>
        <w:adjustRightInd w:val="0"/>
        <w:snapToGrid w:val="0"/>
        <w:spacing w:before="90" w:after="60"/>
        <w:ind w:firstLine="480" w:firstLineChars="200"/>
        <w:rPr>
          <w:rFonts w:eastAsia="仿宋_GB2312" w:cs="Calibri"/>
          <w:color w:val="auto"/>
          <w:sz w:val="24"/>
          <w:szCs w:val="24"/>
          <w:highlight w:val="none"/>
        </w:rPr>
      </w:pPr>
      <w:r>
        <w:rPr>
          <w:rFonts w:hint="eastAsia" w:ascii="仿宋_GB2312" w:eastAsia="仿宋_GB2312"/>
          <w:color w:val="auto"/>
          <w:sz w:val="24"/>
          <w:szCs w:val="24"/>
          <w:highlight w:val="none"/>
        </w:rPr>
        <w:t>5、</w:t>
      </w:r>
      <w:r>
        <w:rPr>
          <w:rFonts w:hint="eastAsia" w:ascii="仿宋_GB2312" w:hAnsi="宋体" w:eastAsia="仿宋_GB2312" w:cs="仿宋_GB2312"/>
          <w:color w:val="auto"/>
          <w:sz w:val="24"/>
          <w:szCs w:val="24"/>
          <w:highlight w:val="none"/>
        </w:rPr>
        <w:t>甲方收到乙方相关款项后，提供正式票据给乙方。</w:t>
      </w:r>
    </w:p>
    <w:p w14:paraId="358C6D8A">
      <w:pPr>
        <w:adjustRightInd w:val="0"/>
        <w:snapToGrid w:val="0"/>
        <w:spacing w:before="90" w:after="60"/>
        <w:ind w:firstLine="480" w:firstLineChars="200"/>
        <w:rPr>
          <w:rFonts w:eastAsia="仿宋_GB2312" w:cs="Calibri"/>
          <w:color w:val="auto"/>
          <w:sz w:val="24"/>
          <w:szCs w:val="24"/>
          <w:highlight w:val="none"/>
        </w:rPr>
      </w:pPr>
      <w:r>
        <w:rPr>
          <w:rFonts w:hint="eastAsia" w:eastAsia="仿宋_GB2312" w:cs="Calibri"/>
          <w:color w:val="auto"/>
          <w:sz w:val="24"/>
          <w:szCs w:val="24"/>
          <w:highlight w:val="none"/>
        </w:rPr>
        <w:t>甲方开具的发票为增值税发票，乙方为自然人/小规模纳税人/一般纳税人</w:t>
      </w:r>
      <w:r>
        <w:rPr>
          <w:rFonts w:hint="eastAsia" w:ascii="仿宋_GB2312" w:hAnsi="宋体" w:eastAsia="仿宋_GB2312" w:cs="仿宋_GB2312"/>
          <w:color w:val="auto"/>
          <w:sz w:val="24"/>
          <w:szCs w:val="24"/>
          <w:highlight w:val="none"/>
        </w:rPr>
        <w:t>（选择性条款）</w:t>
      </w:r>
      <w:r>
        <w:rPr>
          <w:rFonts w:hint="eastAsia" w:eastAsia="仿宋_GB2312" w:cs="Calibri"/>
          <w:color w:val="auto"/>
          <w:sz w:val="24"/>
          <w:szCs w:val="24"/>
          <w:highlight w:val="none"/>
        </w:rPr>
        <w:t>，开票信息如下表：</w:t>
      </w:r>
    </w:p>
    <w:tbl>
      <w:tblPr>
        <w:tblStyle w:val="15"/>
        <w:tblW w:w="8505" w:type="dxa"/>
        <w:tblInd w:w="534" w:type="dxa"/>
        <w:tblLayout w:type="fixed"/>
        <w:tblCellMar>
          <w:top w:w="0" w:type="dxa"/>
          <w:left w:w="108" w:type="dxa"/>
          <w:bottom w:w="0" w:type="dxa"/>
          <w:right w:w="108" w:type="dxa"/>
        </w:tblCellMar>
      </w:tblPr>
      <w:tblGrid>
        <w:gridCol w:w="1842"/>
        <w:gridCol w:w="6663"/>
      </w:tblGrid>
      <w:tr w14:paraId="1C8B10DF">
        <w:tblPrEx>
          <w:tblCellMar>
            <w:top w:w="0" w:type="dxa"/>
            <w:left w:w="108" w:type="dxa"/>
            <w:bottom w:w="0" w:type="dxa"/>
            <w:right w:w="108" w:type="dxa"/>
          </w:tblCellMar>
        </w:tblPrEx>
        <w:trPr>
          <w:trHeight w:val="345" w:hRule="atLeast"/>
        </w:trPr>
        <w:tc>
          <w:tcPr>
            <w:tcW w:w="1842" w:type="dxa"/>
            <w:tcBorders>
              <w:top w:val="single" w:color="auto" w:sz="4" w:space="0"/>
              <w:left w:val="single" w:color="auto" w:sz="4" w:space="0"/>
              <w:bottom w:val="single" w:color="auto" w:sz="4" w:space="0"/>
              <w:right w:val="single" w:color="auto" w:sz="4" w:space="0"/>
            </w:tcBorders>
            <w:vAlign w:val="center"/>
          </w:tcPr>
          <w:p w14:paraId="3EBC6EF4">
            <w:pPr>
              <w:widowControl/>
              <w:adjustRightInd w:val="0"/>
              <w:snapToGrid w:val="0"/>
              <w:spacing w:before="90" w:after="60"/>
              <w:rPr>
                <w:rFonts w:ascii="仿宋_GB2312" w:hAnsi="华文楷体" w:eastAsia="仿宋_GB2312" w:cs="宋体"/>
                <w:color w:val="auto"/>
                <w:kern w:val="0"/>
                <w:sz w:val="24"/>
                <w:szCs w:val="24"/>
                <w:highlight w:val="none"/>
              </w:rPr>
            </w:pPr>
            <w:r>
              <w:rPr>
                <w:rFonts w:hint="eastAsia" w:ascii="仿宋_GB2312" w:hAnsi="华文楷体" w:eastAsia="仿宋_GB2312" w:cs="宋体"/>
                <w:color w:val="auto"/>
                <w:kern w:val="0"/>
                <w:sz w:val="24"/>
                <w:szCs w:val="24"/>
                <w:highlight w:val="none"/>
              </w:rPr>
              <w:t>公司全称</w:t>
            </w:r>
          </w:p>
        </w:tc>
        <w:tc>
          <w:tcPr>
            <w:tcW w:w="6663" w:type="dxa"/>
            <w:tcBorders>
              <w:top w:val="single" w:color="auto" w:sz="4" w:space="0"/>
              <w:left w:val="nil"/>
              <w:bottom w:val="single" w:color="auto" w:sz="4" w:space="0"/>
              <w:right w:val="single" w:color="auto" w:sz="4" w:space="0"/>
            </w:tcBorders>
            <w:vAlign w:val="center"/>
          </w:tcPr>
          <w:p w14:paraId="0579CFF9">
            <w:pPr>
              <w:widowControl/>
              <w:adjustRightInd w:val="0"/>
              <w:snapToGrid w:val="0"/>
              <w:spacing w:before="90" w:after="60"/>
              <w:rPr>
                <w:rFonts w:ascii="仿宋_GB2312" w:hAnsi="华文楷体" w:eastAsia="仿宋_GB2312" w:cs="宋体"/>
                <w:color w:val="auto"/>
                <w:kern w:val="0"/>
                <w:sz w:val="24"/>
                <w:szCs w:val="24"/>
                <w:highlight w:val="none"/>
              </w:rPr>
            </w:pPr>
            <w:r>
              <w:rPr>
                <w:rFonts w:hint="eastAsia" w:ascii="仿宋_GB2312" w:hAnsi="华文楷体" w:eastAsia="仿宋_GB2312" w:cs="宋体"/>
                <w:color w:val="auto"/>
                <w:kern w:val="0"/>
                <w:sz w:val="24"/>
                <w:szCs w:val="24"/>
                <w:highlight w:val="none"/>
              </w:rPr>
              <w:t>　</w:t>
            </w:r>
          </w:p>
        </w:tc>
      </w:tr>
      <w:tr w14:paraId="2AE290A8">
        <w:tblPrEx>
          <w:tblCellMar>
            <w:top w:w="0" w:type="dxa"/>
            <w:left w:w="108" w:type="dxa"/>
            <w:bottom w:w="0" w:type="dxa"/>
            <w:right w:w="108" w:type="dxa"/>
          </w:tblCellMar>
        </w:tblPrEx>
        <w:trPr>
          <w:trHeight w:val="345" w:hRule="atLeast"/>
        </w:trPr>
        <w:tc>
          <w:tcPr>
            <w:tcW w:w="1842" w:type="dxa"/>
            <w:tcBorders>
              <w:top w:val="nil"/>
              <w:left w:val="single" w:color="auto" w:sz="4" w:space="0"/>
              <w:bottom w:val="single" w:color="auto" w:sz="4" w:space="0"/>
              <w:right w:val="single" w:color="auto" w:sz="4" w:space="0"/>
            </w:tcBorders>
            <w:vAlign w:val="center"/>
          </w:tcPr>
          <w:p w14:paraId="41708A5D">
            <w:pPr>
              <w:widowControl/>
              <w:adjustRightInd w:val="0"/>
              <w:snapToGrid w:val="0"/>
              <w:spacing w:before="90" w:after="60"/>
              <w:rPr>
                <w:rFonts w:ascii="仿宋_GB2312" w:hAnsi="华文楷体" w:eastAsia="仿宋_GB2312" w:cs="宋体"/>
                <w:color w:val="auto"/>
                <w:kern w:val="0"/>
                <w:sz w:val="24"/>
                <w:szCs w:val="24"/>
                <w:highlight w:val="none"/>
              </w:rPr>
            </w:pPr>
            <w:r>
              <w:rPr>
                <w:rFonts w:hint="eastAsia" w:ascii="仿宋_GB2312" w:hAnsi="华文楷体" w:eastAsia="仿宋_GB2312" w:cs="宋体"/>
                <w:color w:val="auto"/>
                <w:kern w:val="0"/>
                <w:sz w:val="24"/>
                <w:szCs w:val="24"/>
                <w:highlight w:val="none"/>
              </w:rPr>
              <w:t>税    号</w:t>
            </w:r>
          </w:p>
        </w:tc>
        <w:tc>
          <w:tcPr>
            <w:tcW w:w="6663" w:type="dxa"/>
            <w:tcBorders>
              <w:top w:val="nil"/>
              <w:left w:val="nil"/>
              <w:bottom w:val="single" w:color="auto" w:sz="4" w:space="0"/>
              <w:right w:val="single" w:color="auto" w:sz="4" w:space="0"/>
            </w:tcBorders>
            <w:vAlign w:val="center"/>
          </w:tcPr>
          <w:p w14:paraId="7B0508A1">
            <w:pPr>
              <w:widowControl/>
              <w:adjustRightInd w:val="0"/>
              <w:snapToGrid w:val="0"/>
              <w:spacing w:before="90" w:after="60"/>
              <w:rPr>
                <w:rFonts w:ascii="仿宋_GB2312" w:hAnsi="华文楷体" w:eastAsia="仿宋_GB2312" w:cs="宋体"/>
                <w:color w:val="auto"/>
                <w:kern w:val="0"/>
                <w:sz w:val="24"/>
                <w:szCs w:val="24"/>
                <w:highlight w:val="none"/>
              </w:rPr>
            </w:pPr>
            <w:r>
              <w:rPr>
                <w:rFonts w:hint="eastAsia" w:ascii="仿宋_GB2312" w:hAnsi="华文楷体" w:eastAsia="仿宋_GB2312" w:cs="宋体"/>
                <w:color w:val="auto"/>
                <w:kern w:val="0"/>
                <w:sz w:val="24"/>
                <w:szCs w:val="24"/>
                <w:highlight w:val="none"/>
              </w:rPr>
              <w:t>　</w:t>
            </w:r>
          </w:p>
        </w:tc>
      </w:tr>
      <w:tr w14:paraId="478ED3C5">
        <w:tblPrEx>
          <w:tblCellMar>
            <w:top w:w="0" w:type="dxa"/>
            <w:left w:w="108" w:type="dxa"/>
            <w:bottom w:w="0" w:type="dxa"/>
            <w:right w:w="108" w:type="dxa"/>
          </w:tblCellMar>
        </w:tblPrEx>
        <w:trPr>
          <w:trHeight w:val="345" w:hRule="atLeast"/>
        </w:trPr>
        <w:tc>
          <w:tcPr>
            <w:tcW w:w="1842" w:type="dxa"/>
            <w:tcBorders>
              <w:top w:val="nil"/>
              <w:left w:val="single" w:color="auto" w:sz="4" w:space="0"/>
              <w:bottom w:val="single" w:color="auto" w:sz="4" w:space="0"/>
              <w:right w:val="single" w:color="auto" w:sz="4" w:space="0"/>
            </w:tcBorders>
            <w:vAlign w:val="center"/>
          </w:tcPr>
          <w:p w14:paraId="2751B8F6">
            <w:pPr>
              <w:widowControl/>
              <w:adjustRightInd w:val="0"/>
              <w:snapToGrid w:val="0"/>
              <w:spacing w:before="90" w:after="60"/>
              <w:rPr>
                <w:rFonts w:ascii="仿宋_GB2312" w:hAnsi="华文楷体" w:eastAsia="仿宋_GB2312" w:cs="宋体"/>
                <w:color w:val="auto"/>
                <w:kern w:val="0"/>
                <w:sz w:val="24"/>
                <w:szCs w:val="24"/>
                <w:highlight w:val="none"/>
              </w:rPr>
            </w:pPr>
            <w:r>
              <w:rPr>
                <w:rFonts w:hint="eastAsia" w:ascii="仿宋_GB2312" w:hAnsi="华文楷体" w:eastAsia="仿宋_GB2312" w:cs="宋体"/>
                <w:color w:val="auto"/>
                <w:kern w:val="0"/>
                <w:sz w:val="24"/>
                <w:szCs w:val="24"/>
                <w:highlight w:val="none"/>
              </w:rPr>
              <w:t>地址电话</w:t>
            </w:r>
          </w:p>
        </w:tc>
        <w:tc>
          <w:tcPr>
            <w:tcW w:w="6663" w:type="dxa"/>
            <w:tcBorders>
              <w:top w:val="nil"/>
              <w:left w:val="nil"/>
              <w:bottom w:val="single" w:color="auto" w:sz="4" w:space="0"/>
              <w:right w:val="single" w:color="auto" w:sz="4" w:space="0"/>
            </w:tcBorders>
            <w:vAlign w:val="center"/>
          </w:tcPr>
          <w:p w14:paraId="286E5F6B">
            <w:pPr>
              <w:widowControl/>
              <w:adjustRightInd w:val="0"/>
              <w:snapToGrid w:val="0"/>
              <w:spacing w:before="90" w:after="60"/>
              <w:rPr>
                <w:rFonts w:ascii="仿宋_GB2312" w:hAnsi="华文楷体" w:eastAsia="仿宋_GB2312" w:cs="宋体"/>
                <w:color w:val="auto"/>
                <w:kern w:val="0"/>
                <w:sz w:val="24"/>
                <w:szCs w:val="24"/>
                <w:highlight w:val="none"/>
              </w:rPr>
            </w:pPr>
            <w:r>
              <w:rPr>
                <w:rFonts w:hint="eastAsia" w:ascii="仿宋_GB2312" w:hAnsi="华文楷体" w:eastAsia="仿宋_GB2312" w:cs="宋体"/>
                <w:color w:val="auto"/>
                <w:kern w:val="0"/>
                <w:sz w:val="24"/>
                <w:szCs w:val="24"/>
                <w:highlight w:val="none"/>
              </w:rPr>
              <w:t>　</w:t>
            </w:r>
          </w:p>
        </w:tc>
      </w:tr>
      <w:tr w14:paraId="3A1CBA07">
        <w:tblPrEx>
          <w:tblCellMar>
            <w:top w:w="0" w:type="dxa"/>
            <w:left w:w="108" w:type="dxa"/>
            <w:bottom w:w="0" w:type="dxa"/>
            <w:right w:w="108" w:type="dxa"/>
          </w:tblCellMar>
        </w:tblPrEx>
        <w:trPr>
          <w:trHeight w:val="345" w:hRule="atLeast"/>
        </w:trPr>
        <w:tc>
          <w:tcPr>
            <w:tcW w:w="1842" w:type="dxa"/>
            <w:tcBorders>
              <w:top w:val="nil"/>
              <w:left w:val="single" w:color="auto" w:sz="4" w:space="0"/>
              <w:bottom w:val="single" w:color="auto" w:sz="4" w:space="0"/>
              <w:right w:val="single" w:color="auto" w:sz="4" w:space="0"/>
            </w:tcBorders>
            <w:vAlign w:val="center"/>
          </w:tcPr>
          <w:p w14:paraId="1C400F3D">
            <w:pPr>
              <w:widowControl/>
              <w:adjustRightInd w:val="0"/>
              <w:snapToGrid w:val="0"/>
              <w:spacing w:before="90" w:after="60"/>
              <w:rPr>
                <w:rFonts w:ascii="仿宋_GB2312" w:hAnsi="华文楷体" w:eastAsia="仿宋_GB2312" w:cs="宋体"/>
                <w:color w:val="auto"/>
                <w:kern w:val="0"/>
                <w:sz w:val="24"/>
                <w:szCs w:val="24"/>
                <w:highlight w:val="none"/>
              </w:rPr>
            </w:pPr>
            <w:r>
              <w:rPr>
                <w:rFonts w:hint="eastAsia" w:ascii="仿宋_GB2312" w:hAnsi="华文楷体" w:eastAsia="仿宋_GB2312" w:cs="宋体"/>
                <w:color w:val="auto"/>
                <w:kern w:val="0"/>
                <w:sz w:val="24"/>
                <w:szCs w:val="24"/>
                <w:highlight w:val="none"/>
              </w:rPr>
              <w:t>开 户 行</w:t>
            </w:r>
          </w:p>
        </w:tc>
        <w:tc>
          <w:tcPr>
            <w:tcW w:w="6663" w:type="dxa"/>
            <w:tcBorders>
              <w:top w:val="nil"/>
              <w:left w:val="nil"/>
              <w:bottom w:val="single" w:color="auto" w:sz="4" w:space="0"/>
              <w:right w:val="single" w:color="auto" w:sz="4" w:space="0"/>
            </w:tcBorders>
            <w:vAlign w:val="center"/>
          </w:tcPr>
          <w:p w14:paraId="473E2A39">
            <w:pPr>
              <w:widowControl/>
              <w:adjustRightInd w:val="0"/>
              <w:snapToGrid w:val="0"/>
              <w:spacing w:before="90" w:after="60"/>
              <w:rPr>
                <w:rFonts w:ascii="仿宋_GB2312" w:hAnsi="华文楷体" w:eastAsia="仿宋_GB2312" w:cs="宋体"/>
                <w:color w:val="auto"/>
                <w:kern w:val="0"/>
                <w:sz w:val="24"/>
                <w:szCs w:val="24"/>
                <w:highlight w:val="none"/>
              </w:rPr>
            </w:pPr>
            <w:r>
              <w:rPr>
                <w:rFonts w:hint="eastAsia" w:ascii="仿宋_GB2312" w:hAnsi="华文楷体" w:eastAsia="仿宋_GB2312" w:cs="宋体"/>
                <w:color w:val="auto"/>
                <w:kern w:val="0"/>
                <w:sz w:val="24"/>
                <w:szCs w:val="24"/>
                <w:highlight w:val="none"/>
              </w:rPr>
              <w:t>　</w:t>
            </w:r>
          </w:p>
        </w:tc>
      </w:tr>
      <w:tr w14:paraId="17DA424E">
        <w:tblPrEx>
          <w:tblCellMar>
            <w:top w:w="0" w:type="dxa"/>
            <w:left w:w="108" w:type="dxa"/>
            <w:bottom w:w="0" w:type="dxa"/>
            <w:right w:w="108" w:type="dxa"/>
          </w:tblCellMar>
        </w:tblPrEx>
        <w:trPr>
          <w:trHeight w:val="345" w:hRule="atLeast"/>
        </w:trPr>
        <w:tc>
          <w:tcPr>
            <w:tcW w:w="1842" w:type="dxa"/>
            <w:tcBorders>
              <w:top w:val="nil"/>
              <w:left w:val="single" w:color="auto" w:sz="4" w:space="0"/>
              <w:bottom w:val="single" w:color="auto" w:sz="4" w:space="0"/>
              <w:right w:val="single" w:color="auto" w:sz="4" w:space="0"/>
            </w:tcBorders>
            <w:vAlign w:val="center"/>
          </w:tcPr>
          <w:p w14:paraId="5772FCCA">
            <w:pPr>
              <w:widowControl/>
              <w:adjustRightInd w:val="0"/>
              <w:snapToGrid w:val="0"/>
              <w:spacing w:before="90" w:after="60"/>
              <w:rPr>
                <w:rFonts w:ascii="仿宋_GB2312" w:hAnsi="华文楷体" w:eastAsia="仿宋_GB2312" w:cs="宋体"/>
                <w:color w:val="auto"/>
                <w:kern w:val="0"/>
                <w:sz w:val="24"/>
                <w:szCs w:val="24"/>
                <w:highlight w:val="none"/>
              </w:rPr>
            </w:pPr>
            <w:r>
              <w:rPr>
                <w:rFonts w:hint="eastAsia" w:ascii="仿宋_GB2312" w:hAnsi="华文楷体" w:eastAsia="仿宋_GB2312" w:cs="宋体"/>
                <w:color w:val="auto"/>
                <w:kern w:val="0"/>
                <w:sz w:val="24"/>
                <w:szCs w:val="24"/>
                <w:highlight w:val="none"/>
              </w:rPr>
              <w:t>银行账号</w:t>
            </w:r>
          </w:p>
        </w:tc>
        <w:tc>
          <w:tcPr>
            <w:tcW w:w="6663" w:type="dxa"/>
            <w:tcBorders>
              <w:top w:val="nil"/>
              <w:left w:val="nil"/>
              <w:bottom w:val="single" w:color="auto" w:sz="4" w:space="0"/>
              <w:right w:val="single" w:color="auto" w:sz="4" w:space="0"/>
            </w:tcBorders>
            <w:vAlign w:val="center"/>
          </w:tcPr>
          <w:p w14:paraId="38848F28">
            <w:pPr>
              <w:widowControl/>
              <w:adjustRightInd w:val="0"/>
              <w:snapToGrid w:val="0"/>
              <w:spacing w:before="90" w:after="60"/>
              <w:rPr>
                <w:rFonts w:ascii="仿宋_GB2312" w:hAnsi="华文楷体" w:eastAsia="仿宋_GB2312" w:cs="宋体"/>
                <w:color w:val="auto"/>
                <w:kern w:val="0"/>
                <w:sz w:val="24"/>
                <w:szCs w:val="24"/>
                <w:highlight w:val="none"/>
              </w:rPr>
            </w:pPr>
            <w:r>
              <w:rPr>
                <w:rFonts w:hint="eastAsia" w:ascii="仿宋_GB2312" w:hAnsi="华文楷体" w:eastAsia="仿宋_GB2312" w:cs="宋体"/>
                <w:color w:val="auto"/>
                <w:kern w:val="0"/>
                <w:sz w:val="24"/>
                <w:szCs w:val="24"/>
                <w:highlight w:val="none"/>
              </w:rPr>
              <w:t>　</w:t>
            </w:r>
          </w:p>
        </w:tc>
      </w:tr>
    </w:tbl>
    <w:p w14:paraId="3D0E0A9E">
      <w:pPr>
        <w:adjustRightInd w:val="0"/>
        <w:snapToGrid w:val="0"/>
        <w:spacing w:before="90" w:after="60" w:line="276" w:lineRule="auto"/>
        <w:ind w:firstLine="480" w:firstLineChars="200"/>
        <w:rPr>
          <w:rFonts w:ascii="仿宋_GB2312" w:hAnsi="华文楷体" w:eastAsia="仿宋_GB2312" w:cs="宋体"/>
          <w:color w:val="auto"/>
          <w:sz w:val="24"/>
          <w:szCs w:val="21"/>
          <w:highlight w:val="none"/>
        </w:rPr>
      </w:pPr>
      <w:r>
        <w:rPr>
          <w:rFonts w:hint="eastAsia" w:ascii="仿宋_GB2312" w:hAnsi="华文楷体" w:eastAsia="仿宋_GB2312" w:cs="宋体"/>
          <w:color w:val="auto"/>
          <w:sz w:val="24"/>
          <w:szCs w:val="21"/>
          <w:highlight w:val="none"/>
        </w:rPr>
        <w:t>乙方由小规模纳税人变更为一般纳税人或开票信息有变，应及时书面通知甲方，若因乙方的原因导致通知延误，甲方不承担责任。</w:t>
      </w:r>
    </w:p>
    <w:p w14:paraId="240BAC5E">
      <w:pPr>
        <w:adjustRightInd w:val="0"/>
        <w:snapToGrid w:val="0"/>
        <w:spacing w:before="90" w:after="60" w:line="276" w:lineRule="auto"/>
        <w:ind w:firstLine="480" w:firstLineChars="200"/>
        <w:rPr>
          <w:rFonts w:ascii="仿宋_GB2312" w:hAnsi="宋体" w:eastAsia="仿宋_GB2312" w:cs="仿宋_GB2312"/>
          <w:b/>
          <w:bCs/>
          <w:color w:val="auto"/>
          <w:sz w:val="24"/>
          <w:szCs w:val="24"/>
          <w:highlight w:val="none"/>
        </w:rPr>
      </w:pPr>
      <w:r>
        <w:rPr>
          <w:rFonts w:hint="eastAsia" w:ascii="仿宋_GB2312" w:hAnsi="华文楷体" w:eastAsia="仿宋_GB2312" w:cs="宋体"/>
          <w:color w:val="auto"/>
          <w:sz w:val="24"/>
          <w:szCs w:val="21"/>
          <w:highlight w:val="none"/>
        </w:rPr>
        <w:t>开具增值税专用发票的，</w:t>
      </w:r>
      <w:r>
        <w:rPr>
          <w:rFonts w:hint="eastAsia" w:ascii="仿宋_GB2312" w:hAnsi="华文楷体" w:eastAsia="仿宋_GB2312" w:cs="宋体"/>
          <w:color w:val="auto"/>
          <w:sz w:val="24"/>
          <w:szCs w:val="24"/>
          <w:highlight w:val="none"/>
        </w:rPr>
        <w:t>由乙方直接转账支付给甲方</w:t>
      </w:r>
      <w:r>
        <w:rPr>
          <w:rFonts w:hint="eastAsia" w:ascii="仿宋_GB2312" w:hAnsi="华文楷体" w:eastAsia="仿宋_GB2312" w:cs="宋体"/>
          <w:color w:val="auto"/>
          <w:sz w:val="24"/>
          <w:szCs w:val="21"/>
          <w:highlight w:val="none"/>
        </w:rPr>
        <w:t>，不得委托第三方代付款，否则甲方有权不予开具增值税专用发票</w:t>
      </w:r>
      <w:r>
        <w:rPr>
          <w:rFonts w:hint="eastAsia" w:ascii="华文楷体" w:hAnsi="华文楷体" w:eastAsia="华文楷体" w:cs="宋体"/>
          <w:color w:val="auto"/>
          <w:sz w:val="24"/>
          <w:szCs w:val="21"/>
          <w:highlight w:val="none"/>
        </w:rPr>
        <w:t>。</w:t>
      </w:r>
    </w:p>
    <w:p w14:paraId="287DBDAC">
      <w:pPr>
        <w:spacing w:before="90" w:after="60"/>
        <w:ind w:firstLine="477" w:firstLineChars="198"/>
        <w:rPr>
          <w:rFonts w:ascii="仿宋_GB2312" w:hAnsi="宋体" w:eastAsia="仿宋_GB2312" w:cs="仿宋_GB2312"/>
          <w:b/>
          <w:bCs/>
          <w:color w:val="auto"/>
          <w:sz w:val="24"/>
          <w:szCs w:val="24"/>
          <w:highlight w:val="none"/>
        </w:rPr>
      </w:pPr>
      <w:r>
        <w:rPr>
          <w:rFonts w:hint="eastAsia" w:ascii="仿宋_GB2312" w:hAnsi="宋体" w:eastAsia="仿宋_GB2312" w:cs="仿宋_GB2312"/>
          <w:b/>
          <w:bCs/>
          <w:color w:val="auto"/>
          <w:sz w:val="24"/>
          <w:szCs w:val="24"/>
          <w:highlight w:val="none"/>
        </w:rPr>
        <w:t>第七条 租赁厂房交付</w:t>
      </w:r>
    </w:p>
    <w:p w14:paraId="6C91D7AB">
      <w:pPr>
        <w:adjustRightInd w:val="0"/>
        <w:snapToGrid w:val="0"/>
        <w:spacing w:before="90" w:after="60" w:line="276" w:lineRule="auto"/>
        <w:ind w:firstLine="480" w:firstLineChars="200"/>
        <w:rPr>
          <w:rFonts w:ascii="仿宋_GB2312" w:hAnsi="宋体" w:eastAsia="仿宋_GB2312" w:cs="仿宋_GB2312"/>
          <w:color w:val="auto"/>
          <w:sz w:val="24"/>
          <w:szCs w:val="24"/>
          <w:highlight w:val="none"/>
        </w:rPr>
      </w:pPr>
      <w:r>
        <w:rPr>
          <w:rFonts w:hint="eastAsia" w:ascii="仿宋_GB2312" w:hAnsi="宋体" w:eastAsia="仿宋_GB2312" w:cs="仿宋_GB2312"/>
          <w:color w:val="auto"/>
          <w:sz w:val="24"/>
          <w:szCs w:val="24"/>
          <w:highlight w:val="none"/>
        </w:rPr>
        <w:t>1、租赁房屋实际交付日期以甲方发出的《交房通知书》载明日期为准；若乙方未按甲方发出的《交房通知书》载明的时间与甲方或甲方选定或委托的物业管理公司办理交接手续，亦视为已完成交房。若租赁期限届满后，乙方继续承租房屋的，不再重新交付。</w:t>
      </w:r>
    </w:p>
    <w:p w14:paraId="45AA90A1">
      <w:pPr>
        <w:adjustRightInd w:val="0"/>
        <w:snapToGrid w:val="0"/>
        <w:spacing w:before="90" w:after="60" w:line="276" w:lineRule="auto"/>
        <w:ind w:firstLine="480" w:firstLineChars="200"/>
        <w:rPr>
          <w:rFonts w:ascii="仿宋_GB2312" w:hAnsi="宋体" w:eastAsia="仿宋_GB2312"/>
          <w:color w:val="auto"/>
          <w:sz w:val="24"/>
          <w:szCs w:val="24"/>
          <w:highlight w:val="none"/>
        </w:rPr>
      </w:pPr>
      <w:r>
        <w:rPr>
          <w:rFonts w:ascii="仿宋_GB2312" w:hAnsi="宋体" w:eastAsia="仿宋_GB2312" w:cs="仿宋_GB2312"/>
          <w:color w:val="auto"/>
          <w:sz w:val="24"/>
          <w:szCs w:val="24"/>
          <w:highlight w:val="none"/>
        </w:rPr>
        <w:t>2</w:t>
      </w:r>
      <w:r>
        <w:rPr>
          <w:rFonts w:hint="eastAsia" w:ascii="仿宋_GB2312" w:hAnsi="宋体" w:eastAsia="仿宋_GB2312" w:cs="仿宋_GB2312"/>
          <w:color w:val="auto"/>
          <w:sz w:val="24"/>
          <w:szCs w:val="24"/>
          <w:highlight w:val="none"/>
        </w:rPr>
        <w:t>、房屋交付时乙方应与甲方或物业管理公司办理交接手续，对房屋状况、配置的设备设施、水电表读数等进行确认，并附上《房屋交接单》由各方签章。交接当日未提交书面异议视为全部确认。</w:t>
      </w:r>
    </w:p>
    <w:p w14:paraId="698A1818">
      <w:pPr>
        <w:adjustRightInd w:val="0"/>
        <w:snapToGrid w:val="0"/>
        <w:spacing w:before="90" w:after="60"/>
        <w:ind w:firstLine="480"/>
        <w:rPr>
          <w:rFonts w:ascii="仿宋_GB2312" w:hAnsi="宋体" w:eastAsia="仿宋_GB2312" w:cs="仿宋_GB2312"/>
          <w:b/>
          <w:bCs/>
          <w:color w:val="auto"/>
          <w:sz w:val="24"/>
          <w:szCs w:val="24"/>
          <w:highlight w:val="none"/>
        </w:rPr>
      </w:pPr>
      <w:r>
        <w:rPr>
          <w:rFonts w:hint="eastAsia" w:ascii="仿宋_GB2312" w:hAnsi="宋体" w:eastAsia="仿宋_GB2312" w:cs="仿宋_GB2312"/>
          <w:b/>
          <w:bCs/>
          <w:color w:val="auto"/>
          <w:sz w:val="24"/>
          <w:szCs w:val="24"/>
          <w:highlight w:val="none"/>
        </w:rPr>
        <w:t>第八条 租赁期间电力的使用</w:t>
      </w:r>
    </w:p>
    <w:p w14:paraId="6D875CC0">
      <w:pPr>
        <w:pStyle w:val="24"/>
        <w:adjustRightInd w:val="0"/>
        <w:snapToGrid w:val="0"/>
        <w:ind w:firstLineChars="0"/>
        <w:rPr>
          <w:rFonts w:ascii="仿宋_GB2312" w:hAnsi="宋体" w:cs="仿宋_GB2312"/>
          <w:color w:val="auto"/>
          <w:highlight w:val="none"/>
        </w:rPr>
      </w:pPr>
      <w:r>
        <w:rPr>
          <w:rFonts w:hint="eastAsia" w:ascii="仿宋_GB2312" w:hAnsi="宋体" w:cs="仿宋_GB2312"/>
          <w:color w:val="auto"/>
          <w:highlight w:val="none"/>
        </w:rPr>
        <w:t>1、受电容量</w:t>
      </w:r>
    </w:p>
    <w:p w14:paraId="397D00F1">
      <w:pPr>
        <w:adjustRightInd w:val="0"/>
        <w:snapToGrid w:val="0"/>
        <w:spacing w:before="90" w:after="60"/>
        <w:ind w:firstLine="480" w:firstLineChars="200"/>
        <w:rPr>
          <w:rFonts w:ascii="仿宋_GB2312" w:hAnsi="宋体" w:eastAsia="仿宋_GB2312" w:cs="仿宋_GB2312"/>
          <w:color w:val="auto"/>
          <w:sz w:val="24"/>
          <w:szCs w:val="24"/>
          <w:highlight w:val="none"/>
        </w:rPr>
      </w:pPr>
      <w:r>
        <w:rPr>
          <w:rFonts w:hint="eastAsia" w:ascii="仿宋_GB2312" w:hAnsi="宋体" w:eastAsia="仿宋_GB2312" w:cs="仿宋_GB2312"/>
          <w:color w:val="auto"/>
          <w:sz w:val="24"/>
          <w:szCs w:val="24"/>
          <w:highlight w:val="none"/>
        </w:rPr>
        <w:t>受电容量：</w:t>
      </w:r>
      <w:r>
        <w:rPr>
          <w:rFonts w:hint="eastAsia" w:ascii="仿宋_GB2312" w:hAnsi="宋体" w:eastAsia="仿宋_GB2312" w:cs="仿宋_GB2312"/>
          <w:color w:val="auto"/>
          <w:sz w:val="24"/>
          <w:szCs w:val="24"/>
          <w:highlight w:val="none"/>
          <w:u w:val="single"/>
        </w:rPr>
        <w:t xml:space="preserve">      </w:t>
      </w:r>
      <w:r>
        <w:rPr>
          <w:rFonts w:hint="eastAsia" w:ascii="仿宋_GB2312" w:hAnsi="宋体" w:eastAsia="仿宋_GB2312" w:cs="仿宋_GB2312"/>
          <w:color w:val="auto"/>
          <w:sz w:val="24"/>
          <w:szCs w:val="24"/>
          <w:highlight w:val="none"/>
        </w:rPr>
        <w:t xml:space="preserve"> KVA（自交房之日起，乙方应按该容量缴交基本电费）</w:t>
      </w:r>
    </w:p>
    <w:p w14:paraId="09A08815">
      <w:pPr>
        <w:adjustRightInd w:val="0"/>
        <w:snapToGrid w:val="0"/>
        <w:spacing w:before="90" w:after="60"/>
        <w:ind w:firstLine="480" w:firstLineChars="200"/>
        <w:rPr>
          <w:rFonts w:ascii="仿宋_GB2312" w:hAnsi="宋体" w:eastAsia="仿宋_GB2312" w:cs="仿宋_GB2312"/>
          <w:color w:val="auto"/>
          <w:sz w:val="24"/>
          <w:szCs w:val="24"/>
          <w:highlight w:val="none"/>
        </w:rPr>
      </w:pPr>
      <w:r>
        <w:rPr>
          <w:rFonts w:hint="eastAsia" w:ascii="仿宋_GB2312" w:hAnsi="宋体" w:eastAsia="仿宋_GB2312" w:cs="仿宋_GB2312"/>
          <w:color w:val="auto"/>
          <w:sz w:val="24"/>
          <w:szCs w:val="24"/>
          <w:highlight w:val="none"/>
        </w:rPr>
        <w:t>2、乙方增容与变更用电</w:t>
      </w:r>
    </w:p>
    <w:p w14:paraId="11FCE6C9">
      <w:pPr>
        <w:adjustRightInd w:val="0"/>
        <w:snapToGrid w:val="0"/>
        <w:spacing w:before="90" w:after="60"/>
        <w:ind w:firstLine="480" w:firstLineChars="200"/>
        <w:rPr>
          <w:rFonts w:ascii="仿宋_GB2312" w:hAnsi="宋体" w:eastAsia="仿宋_GB2312" w:cs="仿宋_GB2312"/>
          <w:color w:val="auto"/>
          <w:sz w:val="24"/>
          <w:szCs w:val="24"/>
          <w:highlight w:val="none"/>
        </w:rPr>
      </w:pPr>
      <w:r>
        <w:rPr>
          <w:rFonts w:hint="eastAsia" w:ascii="仿宋_GB2312" w:hAnsi="宋体" w:eastAsia="仿宋_GB2312" w:cs="仿宋_GB2312"/>
          <w:color w:val="auto"/>
          <w:sz w:val="24"/>
          <w:szCs w:val="24"/>
          <w:highlight w:val="none"/>
        </w:rPr>
        <w:t>（1）乙方增加用电，应事先向甲方提出书面用电申请，在征得甲方书面同意，并办理相关手续后方可使用，并承担甲方为适应用电增加而进行的输电、变电、配电工程建设或改造等费用，否则由此造成的一切责任由乙方负责。</w:t>
      </w:r>
    </w:p>
    <w:p w14:paraId="0C2884EE">
      <w:pPr>
        <w:adjustRightInd w:val="0"/>
        <w:snapToGrid w:val="0"/>
        <w:spacing w:before="90" w:after="60"/>
        <w:ind w:firstLine="480" w:firstLineChars="200"/>
        <w:rPr>
          <w:rFonts w:ascii="仿宋_GB2312" w:hAnsi="宋体" w:eastAsia="仿宋_GB2312" w:cs="仿宋_GB2312"/>
          <w:color w:val="auto"/>
          <w:sz w:val="24"/>
          <w:szCs w:val="24"/>
          <w:highlight w:val="none"/>
        </w:rPr>
      </w:pPr>
      <w:r>
        <w:rPr>
          <w:rFonts w:hint="eastAsia" w:ascii="仿宋_GB2312" w:hAnsi="宋体" w:eastAsia="仿宋_GB2312" w:cs="仿宋_GB2312"/>
          <w:color w:val="auto"/>
          <w:sz w:val="24"/>
          <w:szCs w:val="24"/>
          <w:highlight w:val="none"/>
        </w:rPr>
        <w:t>（2）乙方超过报装容量私自增加用电容量，应追补电费，每发现一次，乙方应向甲方支付2000元作为违约金，且应自行拆、封私增设备。乙方擅自使用已报暂停电气设备或启用封存电气设备，应追补电费，且每发现一次，乙方应向甲方支付2000元作为违约金，并再次封存擅自启用的电气设备。因此造成的一切责任由乙方负责。</w:t>
      </w:r>
    </w:p>
    <w:p w14:paraId="68A83571">
      <w:pPr>
        <w:adjustRightInd w:val="0"/>
        <w:snapToGrid w:val="0"/>
        <w:spacing w:before="90" w:after="60"/>
        <w:ind w:firstLine="480" w:firstLineChars="200"/>
        <w:rPr>
          <w:rFonts w:ascii="仿宋_GB2312" w:hAnsi="宋体" w:eastAsia="仿宋_GB2312" w:cs="仿宋_GB2312"/>
          <w:color w:val="auto"/>
          <w:sz w:val="24"/>
          <w:szCs w:val="24"/>
          <w:highlight w:val="none"/>
        </w:rPr>
      </w:pPr>
      <w:r>
        <w:rPr>
          <w:rFonts w:hint="eastAsia" w:ascii="仿宋_GB2312" w:hAnsi="宋体" w:eastAsia="仿宋_GB2312" w:cs="仿宋_GB2312"/>
          <w:color w:val="auto"/>
          <w:sz w:val="24"/>
          <w:szCs w:val="24"/>
          <w:highlight w:val="none"/>
        </w:rPr>
        <w:t>（3）未经甲方同意，乙方不得自行向第三方转供或引入电源，否则甲方有权停止供电，因此造成的一切责任由乙方负责。</w:t>
      </w:r>
    </w:p>
    <w:p w14:paraId="133221DD">
      <w:pPr>
        <w:adjustRightInd w:val="0"/>
        <w:snapToGrid w:val="0"/>
        <w:spacing w:before="90" w:after="60"/>
        <w:ind w:firstLine="480" w:firstLineChars="200"/>
        <w:rPr>
          <w:rFonts w:ascii="仿宋_GB2312" w:hAnsi="宋体" w:eastAsia="仿宋_GB2312" w:cs="仿宋_GB2312"/>
          <w:color w:val="auto"/>
          <w:sz w:val="24"/>
          <w:szCs w:val="24"/>
          <w:highlight w:val="none"/>
        </w:rPr>
      </w:pPr>
      <w:r>
        <w:rPr>
          <w:rFonts w:hint="eastAsia" w:ascii="仿宋_GB2312" w:hAnsi="宋体" w:eastAsia="仿宋_GB2312" w:cs="仿宋_GB2312"/>
          <w:color w:val="auto"/>
          <w:sz w:val="24"/>
          <w:szCs w:val="24"/>
          <w:highlight w:val="none"/>
        </w:rPr>
        <w:t>3、设计、安装</w:t>
      </w:r>
    </w:p>
    <w:p w14:paraId="335FA9AB">
      <w:pPr>
        <w:adjustRightInd w:val="0"/>
        <w:snapToGrid w:val="0"/>
        <w:spacing w:before="90" w:after="60"/>
        <w:ind w:left="480"/>
        <w:rPr>
          <w:rFonts w:ascii="仿宋_GB2312" w:hAnsi="宋体" w:eastAsia="仿宋_GB2312" w:cs="仿宋_GB2312"/>
          <w:color w:val="auto"/>
          <w:sz w:val="24"/>
          <w:szCs w:val="24"/>
          <w:highlight w:val="none"/>
        </w:rPr>
      </w:pPr>
      <w:r>
        <w:rPr>
          <w:rFonts w:hint="eastAsia" w:ascii="仿宋_GB2312" w:hAnsi="宋体" w:eastAsia="仿宋_GB2312" w:cs="仿宋_GB2312"/>
          <w:color w:val="auto"/>
          <w:sz w:val="24"/>
          <w:szCs w:val="24"/>
          <w:highlight w:val="none"/>
        </w:rPr>
        <w:t>（1）乙方应向甲方提供负荷组成和用电设备清单。</w:t>
      </w:r>
    </w:p>
    <w:p w14:paraId="73A166A3">
      <w:pPr>
        <w:adjustRightInd w:val="0"/>
        <w:snapToGrid w:val="0"/>
        <w:spacing w:before="90" w:after="60"/>
        <w:ind w:firstLine="480" w:firstLineChars="200"/>
        <w:rPr>
          <w:rFonts w:ascii="仿宋_GB2312" w:hAnsi="宋体" w:eastAsia="仿宋_GB2312" w:cs="仿宋_GB2312"/>
          <w:color w:val="auto"/>
          <w:sz w:val="24"/>
          <w:szCs w:val="24"/>
          <w:highlight w:val="none"/>
        </w:rPr>
      </w:pPr>
      <w:r>
        <w:rPr>
          <w:rFonts w:hint="eastAsia" w:ascii="仿宋_GB2312" w:hAnsi="宋体" w:eastAsia="仿宋_GB2312" w:cs="仿宋_GB2312"/>
          <w:color w:val="auto"/>
          <w:sz w:val="24"/>
          <w:szCs w:val="24"/>
          <w:highlight w:val="none"/>
        </w:rPr>
        <w:t>（2）乙方的冲击性负荷、不对称负荷和整流用电等对供电质量和安全经济运行有影响者，应采取技术措施消除影响，否则甲方有权停止供电。</w:t>
      </w:r>
    </w:p>
    <w:p w14:paraId="25829F16">
      <w:pPr>
        <w:adjustRightInd w:val="0"/>
        <w:snapToGrid w:val="0"/>
        <w:spacing w:before="90" w:after="60"/>
        <w:ind w:left="480"/>
        <w:rPr>
          <w:rFonts w:ascii="仿宋_GB2312" w:hAnsi="宋体" w:eastAsia="仿宋_GB2312" w:cs="仿宋_GB2312"/>
          <w:color w:val="auto"/>
          <w:sz w:val="24"/>
          <w:szCs w:val="24"/>
          <w:highlight w:val="none"/>
        </w:rPr>
      </w:pPr>
      <w:r>
        <w:rPr>
          <w:rFonts w:hint="eastAsia" w:ascii="仿宋_GB2312" w:hAnsi="宋体" w:eastAsia="仿宋_GB2312" w:cs="仿宋_GB2312"/>
          <w:color w:val="auto"/>
          <w:sz w:val="24"/>
          <w:szCs w:val="24"/>
          <w:highlight w:val="none"/>
        </w:rPr>
        <w:t>（3）双方在电力设备施工作业的人员，必须持有国家认可的操作资质。</w:t>
      </w:r>
    </w:p>
    <w:p w14:paraId="576CB5D3">
      <w:pPr>
        <w:adjustRightInd w:val="0"/>
        <w:snapToGrid w:val="0"/>
        <w:spacing w:before="90" w:after="60"/>
        <w:ind w:firstLine="480" w:firstLineChars="200"/>
        <w:rPr>
          <w:rFonts w:ascii="仿宋_GB2312" w:hAnsi="宋体" w:eastAsia="仿宋_GB2312" w:cs="仿宋_GB2312"/>
          <w:color w:val="auto"/>
          <w:sz w:val="24"/>
          <w:szCs w:val="24"/>
          <w:highlight w:val="none"/>
        </w:rPr>
      </w:pPr>
      <w:r>
        <w:rPr>
          <w:rFonts w:hint="eastAsia" w:ascii="仿宋_GB2312" w:hAnsi="宋体" w:eastAsia="仿宋_GB2312" w:cs="仿宋_GB2312"/>
          <w:color w:val="auto"/>
          <w:sz w:val="24"/>
          <w:szCs w:val="24"/>
          <w:highlight w:val="none"/>
        </w:rPr>
        <w:t>4、安全用电</w:t>
      </w:r>
    </w:p>
    <w:p w14:paraId="0D61FB0A">
      <w:pPr>
        <w:adjustRightInd w:val="0"/>
        <w:snapToGrid w:val="0"/>
        <w:spacing w:before="90" w:after="60"/>
        <w:ind w:firstLine="480" w:firstLineChars="200"/>
        <w:rPr>
          <w:rFonts w:ascii="仿宋_GB2312" w:hAnsi="宋体" w:eastAsia="仿宋_GB2312" w:cs="仿宋_GB2312"/>
          <w:color w:val="auto"/>
          <w:sz w:val="24"/>
          <w:szCs w:val="24"/>
          <w:highlight w:val="none"/>
        </w:rPr>
      </w:pPr>
      <w:r>
        <w:rPr>
          <w:rFonts w:hint="eastAsia" w:ascii="仿宋_GB2312" w:hAnsi="宋体" w:eastAsia="仿宋_GB2312" w:cs="仿宋_GB2312"/>
          <w:color w:val="auto"/>
          <w:sz w:val="24"/>
          <w:szCs w:val="24"/>
          <w:highlight w:val="none"/>
        </w:rPr>
        <w:t>（1）乙方必须认真贯彻执行《中华人民共和国电力法》、《电力设施保护条例》及其实施细则等法律规范的有关规定，并承担安全用电责任。</w:t>
      </w:r>
    </w:p>
    <w:p w14:paraId="1D3547CC">
      <w:pPr>
        <w:adjustRightInd w:val="0"/>
        <w:snapToGrid w:val="0"/>
        <w:spacing w:before="90" w:after="60"/>
        <w:ind w:firstLine="480" w:firstLineChars="200"/>
        <w:rPr>
          <w:rFonts w:ascii="仿宋_GB2312" w:hAnsi="宋体" w:eastAsia="仿宋_GB2312" w:cs="仿宋_GB2312"/>
          <w:color w:val="auto"/>
          <w:sz w:val="24"/>
          <w:szCs w:val="24"/>
          <w:highlight w:val="none"/>
        </w:rPr>
      </w:pPr>
      <w:r>
        <w:rPr>
          <w:rFonts w:hint="eastAsia" w:ascii="仿宋_GB2312" w:hAnsi="宋体" w:eastAsia="仿宋_GB2312" w:cs="仿宋_GB2312"/>
          <w:color w:val="auto"/>
          <w:sz w:val="24"/>
          <w:szCs w:val="24"/>
          <w:highlight w:val="none"/>
        </w:rPr>
        <w:t>（2）双方应定期进行电气设备和保护装置的检查、检修和实验，及时发现消除安全隐患，防止电气设备事故的发生；电气设备危及人身和运行安全时，应立即检修。</w:t>
      </w:r>
    </w:p>
    <w:p w14:paraId="0D1BD6C6">
      <w:pPr>
        <w:adjustRightInd w:val="0"/>
        <w:snapToGrid w:val="0"/>
        <w:spacing w:before="90" w:after="60"/>
        <w:ind w:firstLine="480" w:firstLineChars="200"/>
        <w:rPr>
          <w:rFonts w:ascii="仿宋_GB2312" w:hAnsi="宋体" w:eastAsia="仿宋_GB2312" w:cs="仿宋_GB2312"/>
          <w:color w:val="auto"/>
          <w:sz w:val="24"/>
          <w:szCs w:val="24"/>
          <w:highlight w:val="none"/>
        </w:rPr>
      </w:pPr>
      <w:r>
        <w:rPr>
          <w:rFonts w:hint="eastAsia" w:ascii="仿宋_GB2312" w:hAnsi="宋体" w:eastAsia="仿宋_GB2312" w:cs="仿宋_GB2312"/>
          <w:color w:val="auto"/>
          <w:sz w:val="24"/>
          <w:szCs w:val="24"/>
          <w:highlight w:val="none"/>
        </w:rPr>
        <w:t>（3）乙方发生用电事故时，应根据相关规定进行处理，且应向甲方提交事故调查及整改报告。因乙方原因发生人身触电伤亡、主要电气设备损坏及引起电网停电等事故，产生的一切法律责任均由乙方自行承担。</w:t>
      </w:r>
    </w:p>
    <w:p w14:paraId="04AE4E23">
      <w:pPr>
        <w:adjustRightInd w:val="0"/>
        <w:snapToGrid w:val="0"/>
        <w:spacing w:before="90" w:after="60"/>
        <w:ind w:firstLine="480" w:firstLineChars="200"/>
        <w:rPr>
          <w:rFonts w:ascii="仿宋_GB2312" w:hAnsi="宋体" w:eastAsia="仿宋_GB2312" w:cs="仿宋_GB2312"/>
          <w:color w:val="auto"/>
          <w:sz w:val="24"/>
          <w:szCs w:val="24"/>
          <w:highlight w:val="none"/>
        </w:rPr>
      </w:pPr>
      <w:r>
        <w:rPr>
          <w:rFonts w:hint="eastAsia" w:ascii="仿宋_GB2312" w:hAnsi="宋体" w:eastAsia="仿宋_GB2312" w:cs="仿宋_GB2312"/>
          <w:color w:val="auto"/>
          <w:sz w:val="24"/>
          <w:szCs w:val="24"/>
          <w:highlight w:val="none"/>
        </w:rPr>
        <w:t>（4）甲方有权对乙方的安全用电工作进行督促检查，乙方有义务配合，否则甲方有权停止供电。</w:t>
      </w:r>
    </w:p>
    <w:p w14:paraId="2F6885E6">
      <w:pPr>
        <w:adjustRightInd w:val="0"/>
        <w:snapToGrid w:val="0"/>
        <w:spacing w:before="90" w:after="60"/>
        <w:ind w:firstLine="480" w:firstLineChars="200"/>
        <w:rPr>
          <w:rFonts w:ascii="仿宋_GB2312" w:hAnsi="宋体" w:eastAsia="仿宋_GB2312" w:cs="仿宋_GB2312"/>
          <w:color w:val="auto"/>
          <w:sz w:val="24"/>
          <w:szCs w:val="24"/>
          <w:highlight w:val="none"/>
        </w:rPr>
      </w:pPr>
      <w:r>
        <w:rPr>
          <w:rFonts w:hint="eastAsia" w:ascii="仿宋_GB2312" w:hAnsi="宋体" w:eastAsia="仿宋_GB2312" w:cs="仿宋_GB2312"/>
          <w:color w:val="auto"/>
          <w:sz w:val="24"/>
          <w:szCs w:val="24"/>
          <w:highlight w:val="none"/>
        </w:rPr>
        <w:t>（5）甲方在供电设施的计划检修、校验、试验或故障检修无法供电或超出甲方供电能力的情况下，甲方可暂停向乙方供电，待供电设备正常后，立即恢复供电，但甲方应及时通知乙方，以便乙方及时调整生产安排。</w:t>
      </w:r>
    </w:p>
    <w:p w14:paraId="0404E111">
      <w:pPr>
        <w:adjustRightInd w:val="0"/>
        <w:snapToGrid w:val="0"/>
        <w:spacing w:before="90" w:after="60"/>
        <w:ind w:firstLine="480" w:firstLineChars="200"/>
        <w:rPr>
          <w:rFonts w:ascii="仿宋_GB2312" w:hAnsi="宋体" w:eastAsia="仿宋_GB2312" w:cs="仿宋_GB2312"/>
          <w:color w:val="auto"/>
          <w:sz w:val="24"/>
          <w:szCs w:val="24"/>
          <w:highlight w:val="none"/>
        </w:rPr>
      </w:pPr>
      <w:r>
        <w:rPr>
          <w:rFonts w:hint="eastAsia" w:ascii="仿宋_GB2312" w:hAnsi="宋体" w:eastAsia="仿宋_GB2312" w:cs="仿宋_GB2312"/>
          <w:color w:val="auto"/>
          <w:sz w:val="24"/>
          <w:szCs w:val="24"/>
          <w:highlight w:val="none"/>
        </w:rPr>
        <w:t>5、甲方有权对园区用电采用太阳能光优发电的供电方式，电价按不高于国网福建省电力有限公司厦门供电公司同期同档电价执行，并有权将本合同甲方的权力和义务转由甲方指定的物业管理公司，乙方应无条件服从。</w:t>
      </w:r>
      <w:r>
        <w:rPr>
          <w:rFonts w:hint="eastAsia" w:ascii="仿宋_GB2312" w:hAnsi="宋体" w:eastAsia="仿宋_GB2312" w:cs="仿宋_GB2312"/>
          <w:color w:val="auto"/>
          <w:sz w:val="24"/>
          <w:szCs w:val="24"/>
          <w:highlight w:val="none"/>
        </w:rPr>
        <w:t>（选择性条款）</w:t>
      </w:r>
    </w:p>
    <w:p w14:paraId="5BC2AF20">
      <w:pPr>
        <w:spacing w:before="90" w:after="60"/>
        <w:ind w:firstLine="477" w:firstLineChars="198"/>
        <w:rPr>
          <w:rFonts w:ascii="仿宋_GB2312" w:hAnsi="宋体" w:eastAsia="仿宋_GB2312" w:cs="仿宋_GB2312"/>
          <w:b/>
          <w:bCs/>
          <w:color w:val="auto"/>
          <w:sz w:val="24"/>
          <w:szCs w:val="24"/>
          <w:highlight w:val="none"/>
        </w:rPr>
      </w:pPr>
      <w:r>
        <w:rPr>
          <w:rFonts w:hint="eastAsia" w:ascii="仿宋_GB2312" w:hAnsi="宋体" w:eastAsia="仿宋_GB2312" w:cs="仿宋_GB2312"/>
          <w:b/>
          <w:bCs/>
          <w:color w:val="auto"/>
          <w:sz w:val="24"/>
          <w:szCs w:val="24"/>
          <w:highlight w:val="none"/>
        </w:rPr>
        <w:t>第九条 租赁厂房装修与使用</w:t>
      </w:r>
    </w:p>
    <w:p w14:paraId="2865E0B9">
      <w:pPr>
        <w:adjustRightInd w:val="0"/>
        <w:snapToGrid w:val="0"/>
        <w:spacing w:before="90" w:after="60" w:line="276" w:lineRule="auto"/>
        <w:ind w:firstLine="475" w:firstLineChars="198"/>
        <w:rPr>
          <w:rFonts w:ascii="仿宋_GB2312" w:hAnsi="宋体" w:eastAsia="仿宋_GB2312" w:cs="仿宋_GB2312"/>
          <w:color w:val="auto"/>
          <w:kern w:val="0"/>
          <w:sz w:val="24"/>
          <w:szCs w:val="24"/>
          <w:highlight w:val="none"/>
        </w:rPr>
      </w:pPr>
      <w:r>
        <w:rPr>
          <w:rFonts w:hint="eastAsia" w:ascii="仿宋_GB2312" w:hAnsi="宋体" w:eastAsia="仿宋_GB2312" w:cs="仿宋_GB2312"/>
          <w:bCs/>
          <w:color w:val="auto"/>
          <w:sz w:val="24"/>
          <w:szCs w:val="24"/>
          <w:highlight w:val="none"/>
        </w:rPr>
        <w:t>1、</w:t>
      </w:r>
      <w:r>
        <w:rPr>
          <w:rFonts w:hint="eastAsia" w:ascii="仿宋_GB2312" w:hAnsi="宋体" w:eastAsia="仿宋_GB2312" w:cs="仿宋_GB2312"/>
          <w:color w:val="auto"/>
          <w:sz w:val="24"/>
          <w:szCs w:val="24"/>
          <w:highlight w:val="none"/>
        </w:rPr>
        <w:t>乙方不得擅自变动租赁房屋建筑主体和承重结构，若乙方在租赁期间进行必要的室内装修改造，须自行承担装修改造的全部费用及施工安全责任，并对其自行装修改造的部分承担全部维护责任。乙方应于施</w:t>
      </w:r>
      <w:r>
        <w:rPr>
          <w:rFonts w:hint="eastAsia" w:ascii="仿宋_GB2312" w:hAnsi="宋体" w:eastAsia="仿宋_GB2312" w:cs="仿宋_GB2312"/>
          <w:color w:val="auto"/>
          <w:sz w:val="24"/>
          <w:szCs w:val="24"/>
          <w:highlight w:val="none"/>
        </w:rPr>
        <w:t>工前将装修施工图（含装修设计图、用料说明、门厅及LOGO图、空调系统平面图、消防系统图、</w:t>
      </w:r>
      <w:r>
        <w:rPr>
          <w:rFonts w:hint="eastAsia" w:ascii="仿宋_GB2312" w:hAnsi="宋体" w:eastAsia="仿宋_GB2312" w:cs="宋体"/>
          <w:color w:val="auto"/>
          <w:sz w:val="24"/>
          <w:szCs w:val="24"/>
          <w:highlight w:val="none"/>
        </w:rPr>
        <w:t>室内电气配线系统平面图、天花板平面设计图、各立面图等）</w:t>
      </w:r>
      <w:r>
        <w:rPr>
          <w:rFonts w:hint="eastAsia" w:ascii="仿宋_GB2312" w:hAnsi="宋体" w:eastAsia="仿宋_GB2312" w:cs="仿宋_GB2312"/>
          <w:color w:val="auto"/>
          <w:sz w:val="24"/>
          <w:szCs w:val="24"/>
          <w:highlight w:val="none"/>
        </w:rPr>
        <w:t>提交甲方书面审批同意。乙方装修方案应保证租赁房屋结构安全且符合有关消防、环</w:t>
      </w:r>
      <w:r>
        <w:rPr>
          <w:rFonts w:hint="eastAsia" w:ascii="仿宋_GB2312" w:hAnsi="宋体" w:eastAsia="仿宋_GB2312" w:cs="仿宋_GB2312"/>
          <w:color w:val="auto"/>
          <w:sz w:val="24"/>
          <w:szCs w:val="24"/>
          <w:highlight w:val="none"/>
        </w:rPr>
        <w:t>保、抗震等规定，并须按有关法律法规、政策规定自行办理相关审批手续，经批准后方能施工；</w:t>
      </w:r>
      <w:r>
        <w:rPr>
          <w:rFonts w:hint="eastAsia" w:ascii="仿宋_GB2312" w:hAnsi="宋体" w:eastAsia="仿宋_GB2312" w:cs="仿宋_GB2312"/>
          <w:color w:val="auto"/>
          <w:kern w:val="0"/>
          <w:sz w:val="24"/>
          <w:szCs w:val="24"/>
          <w:highlight w:val="none"/>
        </w:rPr>
        <w:t>若乙方在施工过程中确需对设计方案进行更改的，应再次经过甲方书面审批同意及相关部门审核通过后，方可实施；</w:t>
      </w:r>
      <w:r>
        <w:rPr>
          <w:rFonts w:hint="eastAsia" w:ascii="仿宋_GB2312" w:hAnsi="宋体" w:eastAsia="仿宋_GB2312" w:cs="仿宋_GB2312"/>
          <w:color w:val="auto"/>
          <w:sz w:val="24"/>
          <w:szCs w:val="24"/>
          <w:highlight w:val="none"/>
        </w:rPr>
        <w:t>装修竣工后应在五个工作日内向相关部门报备并通过相关部门的验收（如消防验收等）。装修改造工程竣工验收后的档案资料（含竣工图）应于装修竣工后</w:t>
      </w:r>
      <w:r>
        <w:rPr>
          <w:rFonts w:ascii="仿宋_GB2312" w:hAnsi="宋体" w:eastAsia="仿宋_GB2312" w:cs="仿宋_GB2312"/>
          <w:color w:val="auto"/>
          <w:sz w:val="24"/>
          <w:szCs w:val="24"/>
          <w:highlight w:val="none"/>
        </w:rPr>
        <w:t>5</w:t>
      </w:r>
      <w:r>
        <w:rPr>
          <w:rFonts w:hint="eastAsia" w:ascii="仿宋_GB2312" w:hAnsi="宋体" w:eastAsia="仿宋_GB2312" w:cs="仿宋_GB2312"/>
          <w:color w:val="auto"/>
          <w:sz w:val="24"/>
          <w:szCs w:val="24"/>
          <w:highlight w:val="none"/>
        </w:rPr>
        <w:t>日内报甲方备案。</w:t>
      </w:r>
    </w:p>
    <w:p w14:paraId="7DB36667">
      <w:pPr>
        <w:adjustRightInd w:val="0"/>
        <w:snapToGrid w:val="0"/>
        <w:spacing w:before="90" w:after="60"/>
        <w:ind w:firstLine="241"/>
        <w:rPr>
          <w:rFonts w:ascii="仿宋_GB2312" w:hAnsi="宋体" w:eastAsia="仿宋_GB2312" w:cs="仿宋_GB2312"/>
          <w:color w:val="auto"/>
          <w:sz w:val="24"/>
          <w:szCs w:val="24"/>
          <w:highlight w:val="none"/>
        </w:rPr>
      </w:pPr>
      <w:r>
        <w:rPr>
          <w:rFonts w:hint="eastAsia" w:ascii="仿宋_GB2312" w:hAnsi="宋体" w:eastAsia="仿宋_GB2312" w:cs="仿宋_GB2312"/>
          <w:bCs/>
          <w:color w:val="auto"/>
          <w:sz w:val="24"/>
          <w:szCs w:val="24"/>
          <w:highlight w:val="none"/>
        </w:rPr>
        <w:t xml:space="preserve">  2、</w:t>
      </w:r>
      <w:r>
        <w:rPr>
          <w:rFonts w:hint="eastAsia" w:ascii="仿宋_GB2312" w:hAnsi="宋体" w:eastAsia="仿宋_GB2312" w:cs="仿宋_GB2312"/>
          <w:color w:val="auto"/>
          <w:sz w:val="24"/>
          <w:szCs w:val="24"/>
          <w:highlight w:val="none"/>
        </w:rPr>
        <w:t>乙方应委托具有资质的装饰装修单位和消防施工单位对租赁厂房进行施工。乙方装饰装修过程中涉及电焊、气焊、电工等特殊工种作业的，应由持有相关上岗资格证书的人员进行作业。</w:t>
      </w:r>
    </w:p>
    <w:p w14:paraId="31B81FC1">
      <w:pPr>
        <w:spacing w:before="90" w:after="60"/>
        <w:ind w:firstLine="475" w:firstLineChars="198"/>
        <w:rPr>
          <w:rFonts w:ascii="仿宋_GB2312" w:hAnsi="宋体" w:eastAsia="仿宋_GB2312" w:cs="仿宋_GB2312"/>
          <w:color w:val="auto"/>
          <w:sz w:val="24"/>
          <w:szCs w:val="24"/>
          <w:highlight w:val="none"/>
        </w:rPr>
      </w:pPr>
      <w:r>
        <w:rPr>
          <w:rFonts w:hint="eastAsia" w:ascii="仿宋_GB2312" w:hAnsi="宋体" w:eastAsia="仿宋_GB2312" w:cs="仿宋_GB2312"/>
          <w:color w:val="auto"/>
          <w:sz w:val="24"/>
          <w:szCs w:val="24"/>
          <w:highlight w:val="none"/>
        </w:rPr>
        <w:t>3、乙方不得自行向第三方转供或引入电源，未经甲方同意不得改变租赁厂房标配开关及线路容量。</w:t>
      </w:r>
    </w:p>
    <w:p w14:paraId="4C123D7F">
      <w:pPr>
        <w:adjustRightInd w:val="0"/>
        <w:snapToGrid w:val="0"/>
        <w:spacing w:before="90" w:after="60"/>
        <w:ind w:firstLine="480" w:firstLineChars="200"/>
        <w:rPr>
          <w:rFonts w:ascii="仿宋_GB2312" w:hAnsi="宋体" w:eastAsia="仿宋_GB2312" w:cs="仿宋_GB2312"/>
          <w:color w:val="auto"/>
          <w:sz w:val="24"/>
          <w:szCs w:val="24"/>
          <w:highlight w:val="none"/>
        </w:rPr>
      </w:pPr>
      <w:r>
        <w:rPr>
          <w:rFonts w:hint="eastAsia" w:ascii="仿宋_GB2312" w:hAnsi="宋体" w:eastAsia="仿宋_GB2312" w:cs="仿宋_GB2312"/>
          <w:color w:val="auto"/>
          <w:sz w:val="24"/>
          <w:szCs w:val="24"/>
          <w:highlight w:val="none"/>
        </w:rPr>
        <w:t>4、因乙方改造、装修和使用租赁厂房及其附属设备设施造成任何一方人身损害或财产损失的，由乙方承担一切责任；若因此连带给甲方造成损失的，乙方应予以赔偿。为避免上述情况发生，乙方可购买保险，保险费用由乙方承担。</w:t>
      </w:r>
    </w:p>
    <w:p w14:paraId="20232AD1">
      <w:pPr>
        <w:spacing w:before="90" w:after="60"/>
        <w:ind w:firstLine="475" w:firstLineChars="198"/>
        <w:rPr>
          <w:rFonts w:ascii="仿宋_GB2312" w:hAnsi="宋体" w:eastAsia="仿宋_GB2312" w:cs="仿宋_GB2312"/>
          <w:color w:val="auto"/>
          <w:sz w:val="24"/>
          <w:szCs w:val="24"/>
          <w:highlight w:val="none"/>
        </w:rPr>
      </w:pPr>
      <w:r>
        <w:rPr>
          <w:rFonts w:hint="eastAsia" w:ascii="仿宋_GB2312" w:hAnsi="宋体" w:eastAsia="仿宋_GB2312" w:cs="仿宋_GB2312"/>
          <w:color w:val="auto"/>
          <w:sz w:val="24"/>
          <w:szCs w:val="24"/>
          <w:highlight w:val="none"/>
        </w:rPr>
        <w:t>5、租赁期间，乙方应当爱护并合理使用租赁厂房及其附属设备设施，不得擅自拆改、扩建、增添等。乙方应定期检查厂房，发现问题应立即通知甲方或</w:t>
      </w:r>
      <w:r>
        <w:rPr>
          <w:rFonts w:hint="eastAsia" w:ascii="仿宋_GB2312" w:hAnsi="宋体" w:eastAsia="仿宋_GB2312" w:cs="仿宋_GB2312"/>
          <w:color w:val="auto"/>
          <w:kern w:val="0"/>
          <w:sz w:val="24"/>
          <w:szCs w:val="24"/>
          <w:highlight w:val="none"/>
        </w:rPr>
        <w:t>物业管理公司进行维修。乙方对租赁厂房经乙方装修或改造的部分及因乙方使用不当对租赁厂房造成的损坏负有修缮义务，承担相应责任。由于出租厂房本身的质量问题引起的维护和维修由甲方负责并承担相关费用和责任。</w:t>
      </w:r>
      <w:r>
        <w:rPr>
          <w:rFonts w:hint="eastAsia" w:ascii="仿宋_GB2312" w:hAnsi="宋体" w:eastAsia="仿宋_GB2312" w:cs="仿宋_GB2312"/>
          <w:color w:val="auto"/>
          <w:sz w:val="24"/>
          <w:szCs w:val="24"/>
          <w:highlight w:val="none"/>
        </w:rPr>
        <w:t>房屋老化或因天灾等不可抗力的因素产生的损坏，乙方应该及时书面通知甲方后由甲方负责修缮，如因乙方未及时通知造成房屋损害或人身损害、财产损失的，由乙方承担一切责任。</w:t>
      </w:r>
    </w:p>
    <w:p w14:paraId="69BCC791">
      <w:pPr>
        <w:adjustRightInd w:val="0"/>
        <w:snapToGrid w:val="0"/>
        <w:spacing w:before="90" w:after="60"/>
        <w:ind w:firstLine="480" w:firstLineChars="200"/>
        <w:rPr>
          <w:rFonts w:ascii="仿宋_GB2312" w:hAnsi="宋体" w:eastAsia="仿宋_GB2312" w:cs="仿宋_GB2312"/>
          <w:color w:val="auto"/>
          <w:sz w:val="24"/>
          <w:szCs w:val="24"/>
          <w:highlight w:val="none"/>
        </w:rPr>
      </w:pPr>
      <w:r>
        <w:rPr>
          <w:rFonts w:hint="eastAsia" w:ascii="仿宋_GB2312" w:hAnsi="宋体" w:eastAsia="仿宋_GB2312" w:cs="仿宋_GB2312"/>
          <w:color w:val="auto"/>
          <w:sz w:val="24"/>
          <w:szCs w:val="24"/>
          <w:highlight w:val="none"/>
        </w:rPr>
        <w:t>6、乙方租用甲方厂房应遵守政府所颁布的各项法律、法规。乙方在租赁期内若发生违反政府法律、法规的行为应自行承担相应的责任，并应承担因此给甲方造成的经济、名誉等损失的赔偿责任。</w:t>
      </w:r>
    </w:p>
    <w:p w14:paraId="2EC2E617">
      <w:pPr>
        <w:adjustRightInd w:val="0"/>
        <w:snapToGrid w:val="0"/>
        <w:spacing w:before="90" w:after="60"/>
        <w:ind w:firstLine="480" w:firstLineChars="200"/>
        <w:rPr>
          <w:rFonts w:ascii="仿宋_GB2312" w:hAnsi="宋体" w:eastAsia="仿宋_GB2312" w:cs="仿宋_GB2312"/>
          <w:color w:val="auto"/>
          <w:sz w:val="24"/>
          <w:szCs w:val="24"/>
          <w:highlight w:val="none"/>
        </w:rPr>
      </w:pPr>
      <w:r>
        <w:rPr>
          <w:rFonts w:hint="eastAsia" w:ascii="仿宋_GB2312" w:hAnsi="宋体" w:eastAsia="仿宋_GB2312" w:cs="仿宋_GB2312"/>
          <w:color w:val="auto"/>
          <w:sz w:val="24"/>
          <w:szCs w:val="24"/>
          <w:highlight w:val="none"/>
        </w:rPr>
        <w:t>7、</w:t>
      </w:r>
      <w:r>
        <w:rPr>
          <w:rFonts w:hint="eastAsia" w:ascii="仿宋_GB2312" w:hAnsi="宋体" w:eastAsia="仿宋_GB2312" w:cs="仿宋_GB2312"/>
          <w:b/>
          <w:bCs/>
          <w:color w:val="auto"/>
          <w:sz w:val="24"/>
          <w:szCs w:val="24"/>
          <w:highlight w:val="none"/>
        </w:rPr>
        <w:t>租赁期间，若发生任何人员伤害、财产损失情况，乙方承担一切相关处理责任，概与甲方无关；因自然灾害或厂房结构等非因甲方故意造成人员伤亡、财产损失也与甲方无关。</w:t>
      </w:r>
      <w:r>
        <w:rPr>
          <w:rFonts w:hint="eastAsia" w:ascii="仿宋_GB2312" w:hAnsi="宋体" w:eastAsia="仿宋_GB2312" w:cs="仿宋_GB2312"/>
          <w:color w:val="auto"/>
          <w:sz w:val="24"/>
          <w:szCs w:val="24"/>
          <w:highlight w:val="none"/>
        </w:rPr>
        <w:t>为避免上述情况发生，乙方可购买保险，保险费用由乙方承担。</w:t>
      </w:r>
    </w:p>
    <w:p w14:paraId="7D14CCD1">
      <w:pPr>
        <w:adjustRightInd w:val="0"/>
        <w:snapToGrid w:val="0"/>
        <w:spacing w:before="90" w:after="60"/>
        <w:ind w:firstLine="480" w:firstLineChars="200"/>
        <w:rPr>
          <w:rFonts w:ascii="仿宋_GB2312" w:hAnsi="宋体" w:eastAsia="仿宋_GB2312"/>
          <w:color w:val="auto"/>
          <w:sz w:val="24"/>
          <w:szCs w:val="24"/>
          <w:highlight w:val="none"/>
        </w:rPr>
      </w:pPr>
      <w:r>
        <w:rPr>
          <w:rFonts w:hint="eastAsia" w:ascii="仿宋_GB2312" w:hAnsi="宋体" w:eastAsia="仿宋_GB2312" w:cs="仿宋_GB2312"/>
          <w:color w:val="auto"/>
          <w:sz w:val="24"/>
          <w:szCs w:val="24"/>
          <w:highlight w:val="none"/>
        </w:rPr>
        <w:t>8、租赁期间，涉及消防、工商、卫生、广告、城市综合管理等内容，乙方应执行本合同项下厂房所在地有关部门的规定并接受甲方监督管理。</w:t>
      </w:r>
    </w:p>
    <w:p w14:paraId="6E79E301">
      <w:pPr>
        <w:adjustRightInd w:val="0"/>
        <w:snapToGrid w:val="0"/>
        <w:spacing w:before="90" w:after="60"/>
        <w:ind w:firstLine="480" w:firstLineChars="200"/>
        <w:rPr>
          <w:rFonts w:ascii="仿宋_GB2312" w:hAnsi="宋体" w:eastAsia="仿宋_GB2312"/>
          <w:color w:val="auto"/>
          <w:sz w:val="24"/>
          <w:szCs w:val="24"/>
          <w:highlight w:val="none"/>
        </w:rPr>
      </w:pPr>
      <w:r>
        <w:rPr>
          <w:rFonts w:hint="eastAsia" w:ascii="仿宋_GB2312" w:hAnsi="宋体" w:eastAsia="仿宋_GB2312" w:cs="仿宋_GB2312"/>
          <w:color w:val="auto"/>
          <w:sz w:val="24"/>
          <w:szCs w:val="24"/>
          <w:highlight w:val="none"/>
        </w:rPr>
        <w:t>9、乙方应妥善处理相邻关系，否则，由此产生的责任由乙方自行承担，甲方不承担任何责任。若因此造成甲方损失，乙方应予以赔偿。</w:t>
      </w:r>
    </w:p>
    <w:p w14:paraId="5B58AD12">
      <w:pPr>
        <w:spacing w:before="90" w:after="60"/>
        <w:ind w:firstLine="477" w:firstLineChars="198"/>
        <w:rPr>
          <w:rFonts w:ascii="仿宋_GB2312" w:hAnsi="宋体" w:eastAsia="仿宋_GB2312" w:cs="仿宋_GB2312"/>
          <w:b/>
          <w:bCs/>
          <w:color w:val="auto"/>
          <w:sz w:val="24"/>
          <w:szCs w:val="24"/>
          <w:highlight w:val="none"/>
        </w:rPr>
      </w:pPr>
      <w:r>
        <w:rPr>
          <w:rFonts w:hint="eastAsia" w:ascii="仿宋_GB2312" w:hAnsi="宋体" w:eastAsia="仿宋_GB2312" w:cs="仿宋_GB2312"/>
          <w:b/>
          <w:bCs/>
          <w:color w:val="auto"/>
          <w:sz w:val="24"/>
          <w:szCs w:val="24"/>
          <w:highlight w:val="none"/>
        </w:rPr>
        <w:t>第十条 退房及财产处置</w:t>
      </w:r>
    </w:p>
    <w:p w14:paraId="7BD0BD25">
      <w:pPr>
        <w:adjustRightInd w:val="0"/>
        <w:snapToGrid w:val="0"/>
        <w:spacing w:before="90" w:after="60"/>
        <w:ind w:firstLine="480" w:firstLineChars="200"/>
        <w:rPr>
          <w:rFonts w:ascii="仿宋_GB2312" w:hAnsi="宋体" w:eastAsia="仿宋_GB2312" w:cs="仿宋_GB2312"/>
          <w:color w:val="auto"/>
          <w:sz w:val="24"/>
          <w:szCs w:val="24"/>
          <w:highlight w:val="none"/>
        </w:rPr>
      </w:pPr>
      <w:r>
        <w:rPr>
          <w:rFonts w:hint="eastAsia" w:ascii="仿宋_GB2312" w:hAnsi="宋体" w:eastAsia="仿宋_GB2312" w:cs="仿宋_GB2312"/>
          <w:color w:val="auto"/>
          <w:sz w:val="24"/>
          <w:szCs w:val="24"/>
          <w:highlight w:val="none"/>
        </w:rPr>
        <w:t>1、本合同到期日前或提前解除、终止后</w:t>
      </w:r>
      <w:r>
        <w:rPr>
          <w:rFonts w:hint="eastAsia" w:ascii="仿宋_GB2312" w:hAnsi="宋体" w:eastAsia="仿宋_GB2312" w:cs="仿宋_GB2312"/>
          <w:color w:val="auto"/>
          <w:sz w:val="24"/>
          <w:szCs w:val="24"/>
          <w:highlight w:val="none"/>
          <w:u w:val="single"/>
        </w:rPr>
        <w:t xml:space="preserve">  </w:t>
      </w:r>
      <w:r>
        <w:rPr>
          <w:rFonts w:hint="eastAsia" w:ascii="仿宋_GB2312" w:hAnsi="宋体" w:eastAsia="仿宋_GB2312" w:cs="仿宋_GB2312"/>
          <w:color w:val="auto"/>
          <w:sz w:val="24"/>
          <w:szCs w:val="24"/>
          <w:highlight w:val="none"/>
        </w:rPr>
        <w:t xml:space="preserve">日内，乙方应保证厂房结构安全及附属设备设施能正常使用，按照甲方的要求返还承租厂房及交房的《房屋交接单》所列租赁物，搬走属于乙方的物品，并与甲方签署退房的《房屋交接单》，方可视为乙方退房完毕。同时，乙方应在合同解除终止日前向有关部门办理完毕登记在租赁厂房项下的工商、税务等住所登记或经营场所备案等迁移或撤销手续。 </w:t>
      </w:r>
    </w:p>
    <w:p w14:paraId="7DD6FC6D">
      <w:pPr>
        <w:adjustRightInd w:val="0"/>
        <w:snapToGrid w:val="0"/>
        <w:spacing w:before="90" w:after="60"/>
        <w:ind w:firstLine="480" w:firstLineChars="200"/>
        <w:rPr>
          <w:rFonts w:ascii="仿宋_GB2312" w:hAnsi="宋体" w:eastAsia="仿宋_GB2312"/>
          <w:color w:val="auto"/>
          <w:sz w:val="24"/>
          <w:szCs w:val="24"/>
          <w:highlight w:val="none"/>
        </w:rPr>
      </w:pPr>
      <w:r>
        <w:rPr>
          <w:rFonts w:hint="eastAsia" w:ascii="仿宋_GB2312" w:hAnsi="宋体" w:eastAsia="仿宋_GB2312" w:cs="仿宋_GB2312"/>
          <w:color w:val="auto"/>
          <w:sz w:val="24"/>
          <w:szCs w:val="24"/>
          <w:highlight w:val="none"/>
        </w:rPr>
        <w:t>（1）乙方对租赁厂房进行改造、装修的，属于租赁厂房附合的装饰装修物（包括但不限于重新铺设地板砖、重新吊装天花板、墙（柱）体贴瓷砖、墙面粉刷或油漆、重新安装门窗、电梯、楼梯、灯具灯饰等）乙方不得拆除，无偿归甲方所有，且乙方不得要求任何补偿（甲方书面同意乙方拆除或甲方违约解除合同的除外）。</w:t>
      </w:r>
    </w:p>
    <w:p w14:paraId="7660E8A7">
      <w:pPr>
        <w:adjustRightInd w:val="0"/>
        <w:snapToGrid w:val="0"/>
        <w:spacing w:before="90" w:after="60"/>
        <w:ind w:firstLine="480" w:firstLineChars="200"/>
        <w:rPr>
          <w:rFonts w:ascii="仿宋_GB2312" w:hAnsi="宋体" w:eastAsia="仿宋_GB2312"/>
          <w:color w:val="auto"/>
          <w:sz w:val="24"/>
          <w:szCs w:val="24"/>
          <w:highlight w:val="none"/>
        </w:rPr>
      </w:pPr>
      <w:r>
        <w:rPr>
          <w:rFonts w:hint="eastAsia" w:ascii="仿宋_GB2312" w:hAnsi="宋体" w:eastAsia="仿宋_GB2312" w:cs="仿宋_GB2312"/>
          <w:color w:val="auto"/>
          <w:sz w:val="24"/>
          <w:szCs w:val="24"/>
          <w:highlight w:val="none"/>
        </w:rPr>
        <w:t>未形成附合的装饰装修物（如重新安装空调、热水器等）可由乙方在甲方要求的期限内自行拆除、搬走，费用由乙方自理；若拆除后会影响租赁厂房结构安全的，乙方不得拆除。若乙方在拆除过程中给租赁厂房造成损坏的，乙方应负责恢复原状或赔偿损失。</w:t>
      </w:r>
    </w:p>
    <w:p w14:paraId="77475D42">
      <w:pPr>
        <w:adjustRightInd w:val="0"/>
        <w:snapToGrid w:val="0"/>
        <w:spacing w:before="90" w:after="60"/>
        <w:ind w:firstLine="480" w:firstLineChars="200"/>
        <w:rPr>
          <w:rFonts w:ascii="仿宋_GB2312" w:hAnsi="宋体" w:eastAsia="仿宋_GB2312"/>
          <w:color w:val="auto"/>
          <w:sz w:val="24"/>
          <w:szCs w:val="24"/>
          <w:highlight w:val="none"/>
        </w:rPr>
      </w:pPr>
      <w:r>
        <w:rPr>
          <w:rFonts w:hint="eastAsia" w:ascii="仿宋_GB2312" w:hAnsi="宋体" w:eastAsia="仿宋_GB2312" w:cs="仿宋_GB2312"/>
          <w:color w:val="auto"/>
          <w:sz w:val="24"/>
          <w:szCs w:val="24"/>
          <w:highlight w:val="none"/>
        </w:rPr>
        <w:t>（2）乙方在事先征得甲方书面同意，并按有关法律法规、政策规定办妥相关批准手续后，对租赁厂房原有附属设备设施进行改造、增扩、添附的,所有费用由乙方承担。拆除的原有附属设备设施由乙方负责处理，处理原有设备设施所得款项亦归乙方；本合同期满或乙方违约提前解除、终止合同时，该新改扩、增添的附属设备设施乙方不得拆除，无偿归甲方所有，且乙方不得要求任何补偿。</w:t>
      </w:r>
    </w:p>
    <w:p w14:paraId="6007A348">
      <w:pPr>
        <w:spacing w:before="90" w:after="60"/>
        <w:ind w:firstLine="482" w:firstLineChars="200"/>
        <w:rPr>
          <w:rFonts w:ascii="仿宋_GB2312" w:hAnsi="宋体" w:eastAsia="仿宋_GB2312" w:cs="仿宋_GB2312"/>
          <w:b/>
          <w:bCs/>
          <w:color w:val="auto"/>
          <w:sz w:val="24"/>
          <w:szCs w:val="24"/>
          <w:highlight w:val="none"/>
        </w:rPr>
      </w:pPr>
      <w:r>
        <w:rPr>
          <w:rFonts w:hint="eastAsia" w:ascii="仿宋_GB2312" w:hAnsi="宋体" w:eastAsia="仿宋_GB2312" w:cs="仿宋_GB2312"/>
          <w:b/>
          <w:bCs/>
          <w:color w:val="auto"/>
          <w:sz w:val="24"/>
          <w:szCs w:val="24"/>
          <w:highlight w:val="none"/>
        </w:rPr>
        <w:t>2、本合同期满或提前解除、终止后，乙方未在本合同项下约定时间内按甲方的要求返还租赁厂房及其他租赁物或仍未拆除、搬走合同约定可由乙方拆除的装饰装修物、改扩、增添的附属设备设施及其他属于乙方之物品的，视为乙方不履行合同义务并已放弃其财产所有权。甲方有权在公证员或甲方指定或委托的物业服务公司或属地社区居委会或属地公安民警等第三方人员现场见证下，单方进入租赁房屋，自行收回租赁房屋及其他租赁物。</w:t>
      </w:r>
    </w:p>
    <w:p w14:paraId="19E83CE4">
      <w:pPr>
        <w:spacing w:before="90" w:after="60"/>
        <w:ind w:firstLine="482" w:firstLineChars="200"/>
        <w:rPr>
          <w:rFonts w:ascii="仿宋_GB2312" w:hAnsi="宋体" w:eastAsia="仿宋_GB2312" w:cs="仿宋_GB2312"/>
          <w:b/>
          <w:bCs/>
          <w:color w:val="auto"/>
          <w:sz w:val="24"/>
          <w:szCs w:val="24"/>
          <w:highlight w:val="none"/>
        </w:rPr>
      </w:pPr>
      <w:r>
        <w:rPr>
          <w:rFonts w:hint="eastAsia" w:ascii="仿宋_GB2312" w:hAnsi="宋体" w:eastAsia="仿宋_GB2312" w:cs="仿宋_GB2312"/>
          <w:b/>
          <w:bCs/>
          <w:color w:val="auto"/>
          <w:sz w:val="24"/>
          <w:szCs w:val="24"/>
          <w:highlight w:val="none"/>
        </w:rPr>
        <w:t>并且，乙方的装饰装修物、改扩、增添的附属设备设施及其他属于乙方之物品将视为遗弃物将无偿归甲方所有，甲方有权以封存、变卖、丢弃等任何方式自行处理、处置，所产生的处理、处置费用由乙方承担，乙方对此不得有任何异议，不得向甲方要求任何补偿或主张任何其他费用。</w:t>
      </w:r>
    </w:p>
    <w:p w14:paraId="283B3B15">
      <w:pPr>
        <w:tabs>
          <w:tab w:val="left" w:pos="1620"/>
        </w:tabs>
        <w:adjustRightInd w:val="0"/>
        <w:snapToGrid w:val="0"/>
        <w:spacing w:before="90" w:after="60"/>
        <w:ind w:firstLine="480" w:firstLineChars="200"/>
        <w:jc w:val="left"/>
        <w:rPr>
          <w:rFonts w:ascii="仿宋_GB2312" w:hAnsi="宋体" w:eastAsia="仿宋_GB2312"/>
          <w:color w:val="auto"/>
          <w:sz w:val="24"/>
          <w:szCs w:val="24"/>
          <w:highlight w:val="none"/>
        </w:rPr>
      </w:pPr>
      <w:r>
        <w:rPr>
          <w:rFonts w:hint="eastAsia" w:ascii="仿宋_GB2312" w:hAnsi="宋体" w:eastAsia="仿宋_GB2312" w:cs="仿宋_GB2312"/>
          <w:color w:val="auto"/>
          <w:sz w:val="24"/>
          <w:szCs w:val="24"/>
          <w:highlight w:val="none"/>
        </w:rPr>
        <w:t>3、若乙方移交的租赁厂房及其附属设备设施有毁损或灭失的，乙方应负责恢复原状或赔偿损失。</w:t>
      </w:r>
    </w:p>
    <w:p w14:paraId="13857BA2">
      <w:pPr>
        <w:adjustRightInd w:val="0"/>
        <w:snapToGrid w:val="0"/>
        <w:spacing w:before="90" w:after="60"/>
        <w:ind w:firstLine="480" w:firstLineChars="200"/>
        <w:rPr>
          <w:rFonts w:ascii="仿宋_GB2312" w:hAnsi="宋体" w:eastAsia="仿宋_GB2312"/>
          <w:color w:val="auto"/>
          <w:sz w:val="24"/>
          <w:szCs w:val="24"/>
          <w:highlight w:val="none"/>
        </w:rPr>
      </w:pPr>
      <w:r>
        <w:rPr>
          <w:rFonts w:hint="eastAsia" w:ascii="仿宋_GB2312" w:hAnsi="宋体" w:eastAsia="仿宋_GB2312" w:cs="仿宋_GB2312"/>
          <w:color w:val="auto"/>
          <w:sz w:val="24"/>
          <w:szCs w:val="24"/>
          <w:highlight w:val="none"/>
        </w:rPr>
        <w:t>4、</w:t>
      </w:r>
      <w:r>
        <w:rPr>
          <w:rFonts w:hint="eastAsia" w:ascii="仿宋_GB2312" w:hAnsi="宋体" w:eastAsia="仿宋_GB2312" w:cs="仿宋_GB2312"/>
          <w:b/>
          <w:color w:val="auto"/>
          <w:sz w:val="24"/>
          <w:szCs w:val="24"/>
          <w:highlight w:val="none"/>
        </w:rPr>
        <w:t>对于厂房租赁发生的装修费用甲方一概不予补偿，因此，乙方应事先判断对租赁物改造、装修的可行性和必要性，认真考虑装修的投入，避免造成不必要的损失。</w:t>
      </w:r>
    </w:p>
    <w:p w14:paraId="41BD7494">
      <w:pPr>
        <w:spacing w:before="90" w:after="60"/>
        <w:ind w:firstLine="477" w:firstLineChars="198"/>
        <w:rPr>
          <w:rFonts w:ascii="仿宋_GB2312" w:hAnsi="宋体" w:eastAsia="仿宋_GB2312" w:cs="仿宋_GB2312"/>
          <w:b/>
          <w:bCs/>
          <w:color w:val="auto"/>
          <w:sz w:val="24"/>
          <w:szCs w:val="24"/>
          <w:highlight w:val="none"/>
        </w:rPr>
      </w:pPr>
      <w:r>
        <w:rPr>
          <w:rFonts w:hint="eastAsia" w:ascii="仿宋_GB2312" w:hAnsi="宋体" w:eastAsia="仿宋_GB2312" w:cs="仿宋_GB2312"/>
          <w:b/>
          <w:bCs/>
          <w:color w:val="auto"/>
          <w:sz w:val="24"/>
          <w:szCs w:val="24"/>
          <w:highlight w:val="none"/>
        </w:rPr>
        <w:t>第十一条 合同的变更、解除与终止</w:t>
      </w:r>
    </w:p>
    <w:p w14:paraId="125D4DAF">
      <w:pPr>
        <w:adjustRightInd w:val="0"/>
        <w:snapToGrid w:val="0"/>
        <w:spacing w:before="90" w:after="60"/>
        <w:ind w:firstLine="480" w:firstLineChars="200"/>
        <w:rPr>
          <w:rFonts w:ascii="仿宋_GB2312" w:hAnsi="宋体" w:eastAsia="仿宋_GB2312"/>
          <w:color w:val="auto"/>
          <w:sz w:val="24"/>
          <w:szCs w:val="24"/>
          <w:highlight w:val="none"/>
        </w:rPr>
      </w:pPr>
      <w:r>
        <w:rPr>
          <w:rFonts w:hint="eastAsia" w:ascii="仿宋_GB2312" w:hAnsi="宋体" w:eastAsia="仿宋_GB2312" w:cs="仿宋_GB2312"/>
          <w:color w:val="auto"/>
          <w:sz w:val="24"/>
          <w:szCs w:val="24"/>
          <w:highlight w:val="none"/>
        </w:rPr>
        <w:t>1、有下列情形之一的，甲乙双方可以变更或者终止合同：</w:t>
      </w:r>
    </w:p>
    <w:p w14:paraId="3575A0F2">
      <w:pPr>
        <w:adjustRightInd w:val="0"/>
        <w:snapToGrid w:val="0"/>
        <w:spacing w:before="90" w:after="60"/>
        <w:ind w:firstLine="564" w:firstLineChars="235"/>
        <w:rPr>
          <w:rFonts w:ascii="仿宋_GB2312" w:hAnsi="宋体" w:eastAsia="仿宋_GB2312"/>
          <w:color w:val="auto"/>
          <w:sz w:val="24"/>
          <w:szCs w:val="24"/>
          <w:highlight w:val="none"/>
        </w:rPr>
      </w:pPr>
      <w:r>
        <w:rPr>
          <w:rFonts w:hint="eastAsia" w:ascii="仿宋_GB2312" w:hAnsi="宋体" w:eastAsia="仿宋_GB2312" w:cs="仿宋_GB2312"/>
          <w:color w:val="auto"/>
          <w:sz w:val="24"/>
          <w:szCs w:val="24"/>
          <w:highlight w:val="none"/>
        </w:rPr>
        <w:t>（1）甲乙双方协商一致；</w:t>
      </w:r>
    </w:p>
    <w:p w14:paraId="7DFA0FF4">
      <w:pPr>
        <w:adjustRightInd w:val="0"/>
        <w:snapToGrid w:val="0"/>
        <w:spacing w:before="90" w:after="60"/>
        <w:ind w:firstLine="564" w:firstLineChars="235"/>
        <w:rPr>
          <w:rFonts w:ascii="仿宋_GB2312" w:hAnsi="宋体" w:eastAsia="仿宋_GB2312"/>
          <w:color w:val="auto"/>
          <w:sz w:val="24"/>
          <w:szCs w:val="24"/>
          <w:highlight w:val="none"/>
        </w:rPr>
      </w:pPr>
      <w:r>
        <w:rPr>
          <w:rFonts w:hint="eastAsia" w:ascii="仿宋_GB2312" w:hAnsi="宋体" w:eastAsia="仿宋_GB2312" w:cs="仿宋_GB2312"/>
          <w:color w:val="auto"/>
          <w:sz w:val="24"/>
          <w:szCs w:val="24"/>
          <w:highlight w:val="none"/>
        </w:rPr>
        <w:t>（2）本合同</w:t>
      </w:r>
      <w:r>
        <w:rPr>
          <w:rFonts w:hint="eastAsia" w:ascii="仿宋_GB2312" w:hAnsi="宋体" w:eastAsia="仿宋_GB2312" w:cs="仿宋_GB2312"/>
          <w:color w:val="auto"/>
          <w:sz w:val="24"/>
          <w:szCs w:val="24"/>
          <w:highlight w:val="none"/>
        </w:rPr>
        <w:t>第十二条</w:t>
      </w:r>
      <w:r>
        <w:rPr>
          <w:rFonts w:hint="eastAsia" w:ascii="仿宋_GB2312" w:hAnsi="宋体" w:eastAsia="仿宋_GB2312" w:cs="仿宋_GB2312"/>
          <w:color w:val="auto"/>
          <w:sz w:val="24"/>
          <w:szCs w:val="24"/>
          <w:highlight w:val="none"/>
        </w:rPr>
        <w:t>约定的不可抗力情形；</w:t>
      </w:r>
    </w:p>
    <w:p w14:paraId="4D512EE9">
      <w:pPr>
        <w:adjustRightInd w:val="0"/>
        <w:snapToGrid w:val="0"/>
        <w:spacing w:before="90" w:after="60"/>
        <w:ind w:firstLine="564" w:firstLineChars="235"/>
        <w:rPr>
          <w:rFonts w:ascii="仿宋_GB2312" w:hAnsi="宋体" w:eastAsia="仿宋_GB2312"/>
          <w:color w:val="auto"/>
          <w:sz w:val="24"/>
          <w:szCs w:val="24"/>
          <w:highlight w:val="none"/>
        </w:rPr>
      </w:pPr>
      <w:r>
        <w:rPr>
          <w:rFonts w:hint="eastAsia" w:ascii="仿宋_GB2312" w:hAnsi="宋体" w:eastAsia="仿宋_GB2312" w:cs="仿宋_GB2312"/>
          <w:color w:val="auto"/>
          <w:sz w:val="24"/>
          <w:szCs w:val="24"/>
          <w:highlight w:val="none"/>
        </w:rPr>
        <w:t>（3）法律规定的其他情形。</w:t>
      </w:r>
    </w:p>
    <w:p w14:paraId="01B00D07">
      <w:pPr>
        <w:adjustRightInd w:val="0"/>
        <w:snapToGrid w:val="0"/>
        <w:spacing w:before="90" w:after="60"/>
        <w:ind w:firstLine="480" w:firstLineChars="200"/>
        <w:rPr>
          <w:rFonts w:ascii="仿宋_GB2312" w:hAnsi="宋体" w:eastAsia="仿宋_GB2312"/>
          <w:color w:val="auto"/>
          <w:sz w:val="24"/>
          <w:szCs w:val="24"/>
          <w:highlight w:val="none"/>
        </w:rPr>
      </w:pPr>
      <w:r>
        <w:rPr>
          <w:rFonts w:hint="eastAsia" w:ascii="仿宋_GB2312" w:hAnsi="宋体" w:eastAsia="仿宋_GB2312" w:cs="仿宋_GB2312"/>
          <w:color w:val="auto"/>
          <w:sz w:val="24"/>
          <w:szCs w:val="24"/>
          <w:highlight w:val="none"/>
        </w:rPr>
        <w:t>2、甲方有以下行为之一的，乙方有权解除合同：</w:t>
      </w:r>
    </w:p>
    <w:p w14:paraId="6D5A4769">
      <w:pPr>
        <w:adjustRightInd w:val="0"/>
        <w:snapToGrid w:val="0"/>
        <w:spacing w:before="90" w:after="60"/>
        <w:ind w:firstLine="480" w:firstLineChars="200"/>
        <w:rPr>
          <w:rFonts w:ascii="仿宋_GB2312" w:hAnsi="宋体" w:eastAsia="仿宋_GB2312"/>
          <w:color w:val="auto"/>
          <w:sz w:val="24"/>
          <w:szCs w:val="24"/>
          <w:highlight w:val="none"/>
        </w:rPr>
      </w:pPr>
      <w:r>
        <w:rPr>
          <w:rFonts w:hint="eastAsia" w:ascii="仿宋_GB2312" w:hAnsi="宋体" w:eastAsia="仿宋_GB2312" w:cs="仿宋_GB2312"/>
          <w:color w:val="auto"/>
          <w:sz w:val="24"/>
          <w:szCs w:val="24"/>
          <w:highlight w:val="none"/>
        </w:rPr>
        <w:t>（1）甲方未尽应由甲方承担的厂房修缮义务，严重影响乙方使用的；</w:t>
      </w:r>
    </w:p>
    <w:p w14:paraId="66FE2E31">
      <w:pPr>
        <w:adjustRightInd w:val="0"/>
        <w:snapToGrid w:val="0"/>
        <w:spacing w:before="90" w:after="60"/>
        <w:ind w:firstLine="480" w:firstLineChars="200"/>
        <w:rPr>
          <w:rFonts w:ascii="仿宋_GB2312" w:hAnsi="宋体" w:eastAsia="仿宋_GB2312"/>
          <w:color w:val="auto"/>
          <w:sz w:val="24"/>
          <w:szCs w:val="24"/>
          <w:highlight w:val="none"/>
        </w:rPr>
      </w:pPr>
      <w:r>
        <w:rPr>
          <w:rFonts w:hint="eastAsia" w:ascii="仿宋_GB2312" w:hAnsi="宋体" w:eastAsia="仿宋_GB2312" w:cs="仿宋_GB2312"/>
          <w:color w:val="auto"/>
          <w:sz w:val="24"/>
          <w:szCs w:val="24"/>
          <w:highlight w:val="none"/>
        </w:rPr>
        <w:t>（2）依法律规定，其他构成根本违约情形。</w:t>
      </w:r>
    </w:p>
    <w:p w14:paraId="6642A25B">
      <w:pPr>
        <w:adjustRightInd w:val="0"/>
        <w:snapToGrid w:val="0"/>
        <w:spacing w:before="90" w:after="60"/>
        <w:ind w:firstLine="480" w:firstLineChars="200"/>
        <w:rPr>
          <w:rFonts w:ascii="仿宋_GB2312" w:hAnsi="宋体" w:eastAsia="仿宋_GB2312"/>
          <w:color w:val="auto"/>
          <w:sz w:val="24"/>
          <w:szCs w:val="24"/>
          <w:highlight w:val="none"/>
        </w:rPr>
      </w:pPr>
      <w:r>
        <w:rPr>
          <w:rFonts w:hint="eastAsia" w:ascii="仿宋_GB2312" w:hAnsi="宋体" w:eastAsia="仿宋_GB2312" w:cs="仿宋_GB2312"/>
          <w:color w:val="auto"/>
          <w:sz w:val="24"/>
          <w:szCs w:val="24"/>
          <w:highlight w:val="none"/>
        </w:rPr>
        <w:t>3、乙方有下列行为之一的，甲方有权单方解除合同，并收回租赁厂房，对乙方的装修费用不予补偿，乙方还应承担违约责任。甲方也可选择继续履行合同，但甲方仍有权要求乙方及时改正并赔偿损失：</w:t>
      </w:r>
    </w:p>
    <w:p w14:paraId="3D9B57D5">
      <w:pPr>
        <w:adjustRightInd w:val="0"/>
        <w:snapToGrid w:val="0"/>
        <w:spacing w:before="90" w:after="60"/>
        <w:ind w:firstLine="480" w:firstLineChars="200"/>
        <w:rPr>
          <w:rFonts w:ascii="仿宋_GB2312" w:hAnsi="宋体" w:eastAsia="仿宋_GB2312"/>
          <w:color w:val="auto"/>
          <w:sz w:val="24"/>
          <w:szCs w:val="24"/>
          <w:highlight w:val="none"/>
        </w:rPr>
      </w:pPr>
      <w:r>
        <w:rPr>
          <w:rFonts w:hint="eastAsia" w:ascii="仿宋_GB2312" w:hAnsi="宋体" w:eastAsia="仿宋_GB2312" w:cs="仿宋_GB2312"/>
          <w:color w:val="auto"/>
          <w:sz w:val="24"/>
          <w:szCs w:val="24"/>
          <w:highlight w:val="none"/>
        </w:rPr>
        <w:t>（1）未经甲方书面同意，变更租赁厂房用途或</w:t>
      </w:r>
      <w:r>
        <w:rPr>
          <w:rFonts w:hint="eastAsia" w:ascii="仿宋_GB2312" w:hAnsi="宋体" w:eastAsia="仿宋_GB2312" w:cs="Calibri"/>
          <w:color w:val="auto"/>
          <w:sz w:val="24"/>
          <w:szCs w:val="24"/>
          <w:highlight w:val="none"/>
        </w:rPr>
        <w:t>对周围环境造成气味、噪音污染、污水污染、重油烟等不良影响的;</w:t>
      </w:r>
    </w:p>
    <w:p w14:paraId="5778AE57">
      <w:pPr>
        <w:spacing w:before="90" w:after="60"/>
        <w:ind w:firstLine="480" w:firstLineChars="200"/>
        <w:rPr>
          <w:rFonts w:ascii="仿宋_GB2312" w:hAnsi="宋体" w:eastAsia="仿宋_GB2312"/>
          <w:color w:val="auto"/>
          <w:sz w:val="24"/>
          <w:szCs w:val="24"/>
          <w:highlight w:val="none"/>
        </w:rPr>
      </w:pPr>
      <w:r>
        <w:rPr>
          <w:rFonts w:hint="eastAsia" w:ascii="仿宋_GB2312" w:hAnsi="宋体" w:eastAsia="仿宋_GB2312" w:cs="仿宋_GB2312"/>
          <w:color w:val="auto"/>
          <w:sz w:val="24"/>
          <w:szCs w:val="24"/>
          <w:highlight w:val="none"/>
        </w:rPr>
        <w:t>（</w:t>
      </w:r>
      <w:r>
        <w:rPr>
          <w:rFonts w:ascii="仿宋_GB2312" w:hAnsi="宋体" w:eastAsia="仿宋_GB2312" w:cs="仿宋_GB2312"/>
          <w:color w:val="auto"/>
          <w:sz w:val="24"/>
          <w:szCs w:val="24"/>
          <w:highlight w:val="none"/>
        </w:rPr>
        <w:t>2</w:t>
      </w:r>
      <w:r>
        <w:rPr>
          <w:rFonts w:hint="eastAsia" w:ascii="仿宋_GB2312" w:hAnsi="宋体" w:eastAsia="仿宋_GB2312" w:cs="仿宋_GB2312"/>
          <w:color w:val="auto"/>
          <w:sz w:val="24"/>
          <w:szCs w:val="24"/>
          <w:highlight w:val="none"/>
        </w:rPr>
        <w:t>）未经甲方书面同意，将租赁厂房全部或部分转让、转租、转借、抵押，或以合作经营、提供给他人作为经营许可注册地址等方式变相转租；</w:t>
      </w:r>
    </w:p>
    <w:p w14:paraId="5A76B2D9">
      <w:pPr>
        <w:adjustRightInd w:val="0"/>
        <w:snapToGrid w:val="0"/>
        <w:spacing w:before="90" w:after="60"/>
        <w:ind w:firstLine="480" w:firstLineChars="200"/>
        <w:rPr>
          <w:rFonts w:ascii="仿宋_GB2312" w:hAnsi="宋体" w:eastAsia="仿宋_GB2312"/>
          <w:color w:val="auto"/>
          <w:sz w:val="24"/>
          <w:szCs w:val="24"/>
          <w:highlight w:val="none"/>
        </w:rPr>
      </w:pPr>
      <w:r>
        <w:rPr>
          <w:rFonts w:hint="eastAsia" w:ascii="仿宋_GB2312" w:hAnsi="宋体" w:eastAsia="仿宋_GB2312" w:cs="仿宋_GB2312"/>
          <w:color w:val="auto"/>
          <w:sz w:val="24"/>
          <w:szCs w:val="24"/>
          <w:highlight w:val="none"/>
        </w:rPr>
        <w:t>（3）利用租赁厂房存放危险物品或利用租赁厂房进行不合法的经营及各种违法活动的；</w:t>
      </w:r>
    </w:p>
    <w:p w14:paraId="518316B3">
      <w:pPr>
        <w:adjustRightInd w:val="0"/>
        <w:snapToGrid w:val="0"/>
        <w:spacing w:before="90" w:after="60"/>
        <w:ind w:firstLine="480" w:firstLineChars="200"/>
        <w:rPr>
          <w:rFonts w:ascii="仿宋_GB2312" w:hAnsi="宋体" w:eastAsia="仿宋_GB2312"/>
          <w:color w:val="auto"/>
          <w:sz w:val="24"/>
          <w:szCs w:val="24"/>
          <w:highlight w:val="none"/>
        </w:rPr>
      </w:pPr>
      <w:r>
        <w:rPr>
          <w:rFonts w:hint="eastAsia" w:ascii="仿宋_GB2312" w:hAnsi="宋体" w:eastAsia="仿宋_GB2312" w:cs="仿宋_GB2312"/>
          <w:color w:val="auto"/>
          <w:sz w:val="24"/>
          <w:szCs w:val="24"/>
          <w:highlight w:val="none"/>
        </w:rPr>
        <w:t>（4）未经甲方书面同意和有关部门批准，变动或破坏租赁厂房主体结构或擅自进行装修、改动厂房内部结构的；</w:t>
      </w:r>
    </w:p>
    <w:p w14:paraId="449AEB4D">
      <w:pPr>
        <w:adjustRightInd w:val="0"/>
        <w:snapToGrid w:val="0"/>
        <w:spacing w:before="90" w:after="60"/>
        <w:ind w:firstLine="480" w:firstLineChars="200"/>
        <w:rPr>
          <w:rFonts w:ascii="仿宋_GB2312" w:hAnsi="宋体" w:eastAsia="仿宋_GB2312"/>
          <w:color w:val="auto"/>
          <w:sz w:val="24"/>
          <w:szCs w:val="24"/>
          <w:highlight w:val="none"/>
        </w:rPr>
      </w:pPr>
      <w:r>
        <w:rPr>
          <w:rFonts w:hint="eastAsia" w:ascii="仿宋_GB2312" w:hAnsi="宋体" w:eastAsia="仿宋_GB2312" w:cs="仿宋_GB2312"/>
          <w:color w:val="auto"/>
          <w:sz w:val="24"/>
          <w:szCs w:val="24"/>
          <w:highlight w:val="none"/>
        </w:rPr>
        <w:t>（5）拖欠租金、物业管理费、公共维修金、水电费或其他费用超过30日的；</w:t>
      </w:r>
    </w:p>
    <w:p w14:paraId="4D1C8EE1">
      <w:pPr>
        <w:adjustRightInd w:val="0"/>
        <w:snapToGrid w:val="0"/>
        <w:spacing w:before="90" w:after="60"/>
        <w:ind w:firstLine="480" w:firstLineChars="200"/>
        <w:rPr>
          <w:rFonts w:ascii="仿宋_GB2312" w:hAnsi="宋体" w:eastAsia="仿宋_GB2312"/>
          <w:color w:val="auto"/>
          <w:sz w:val="24"/>
          <w:szCs w:val="24"/>
          <w:highlight w:val="none"/>
        </w:rPr>
      </w:pPr>
      <w:r>
        <w:rPr>
          <w:rFonts w:hint="eastAsia" w:ascii="仿宋_GB2312" w:hAnsi="宋体" w:eastAsia="仿宋_GB2312" w:cs="仿宋_GB2312"/>
          <w:color w:val="auto"/>
          <w:sz w:val="24"/>
          <w:szCs w:val="24"/>
          <w:highlight w:val="none"/>
        </w:rPr>
        <w:t>（6）影响租赁场所或其他租户正常营业，侵害商户的权益，或发生其他严重违反物业管理制度行为且未在甲方或物业管理公司通知整改限期内予以纠正；</w:t>
      </w:r>
    </w:p>
    <w:p w14:paraId="5AF79C14">
      <w:pPr>
        <w:adjustRightInd w:val="0"/>
        <w:snapToGrid w:val="0"/>
        <w:spacing w:before="90" w:after="60"/>
        <w:ind w:firstLine="480" w:firstLineChars="200"/>
        <w:rPr>
          <w:rFonts w:ascii="仿宋_GB2312" w:hAnsi="宋体" w:eastAsia="仿宋_GB2312" w:cs="仿宋_GB2312"/>
          <w:color w:val="auto"/>
          <w:kern w:val="0"/>
          <w:sz w:val="24"/>
          <w:szCs w:val="24"/>
          <w:highlight w:val="none"/>
        </w:rPr>
      </w:pPr>
      <w:r>
        <w:rPr>
          <w:rFonts w:hint="eastAsia" w:ascii="仿宋_GB2312" w:hAnsi="宋体" w:eastAsia="仿宋_GB2312" w:cs="仿宋_GB2312"/>
          <w:color w:val="auto"/>
          <w:sz w:val="24"/>
          <w:szCs w:val="24"/>
          <w:highlight w:val="none"/>
        </w:rPr>
        <w:t>（7）</w:t>
      </w:r>
      <w:r>
        <w:rPr>
          <w:rFonts w:hint="eastAsia" w:ascii="仿宋_GB2312" w:hAnsi="宋体" w:eastAsia="仿宋_GB2312" w:cs="仿宋_GB2312"/>
          <w:color w:val="auto"/>
          <w:kern w:val="0"/>
          <w:sz w:val="24"/>
          <w:szCs w:val="24"/>
          <w:highlight w:val="none"/>
        </w:rPr>
        <w:t>在本合同规定的租赁期限内，乙方发生破产、歇业、被解散、被清算,因严重违法违纪被司法、行政机关处罚</w:t>
      </w:r>
      <w:r>
        <w:rPr>
          <w:rFonts w:hint="eastAsia" w:ascii="仿宋_GB2312" w:hAnsi="宋体" w:eastAsia="仿宋_GB2312" w:cs="仿宋_GB2312"/>
          <w:color w:val="auto"/>
          <w:sz w:val="24"/>
          <w:szCs w:val="24"/>
          <w:highlight w:val="none"/>
        </w:rPr>
        <w:t>且未在规定的整改期限内整改完成的</w:t>
      </w:r>
      <w:r>
        <w:rPr>
          <w:rFonts w:hint="eastAsia" w:ascii="仿宋_GB2312" w:hAnsi="宋体" w:eastAsia="仿宋_GB2312" w:cs="仿宋_GB2312"/>
          <w:color w:val="auto"/>
          <w:kern w:val="0"/>
          <w:sz w:val="24"/>
          <w:szCs w:val="24"/>
          <w:highlight w:val="none"/>
        </w:rPr>
        <w:t>或租赁场所被司法机关查封的;</w:t>
      </w:r>
    </w:p>
    <w:p w14:paraId="1E761ADE">
      <w:pPr>
        <w:adjustRightInd w:val="0"/>
        <w:snapToGrid w:val="0"/>
        <w:spacing w:before="90" w:after="60"/>
        <w:ind w:firstLine="480" w:firstLineChars="200"/>
        <w:rPr>
          <w:rFonts w:ascii="仿宋_GB2312" w:hAnsi="宋体" w:eastAsia="仿宋_GB2312"/>
          <w:color w:val="auto"/>
          <w:sz w:val="24"/>
          <w:szCs w:val="24"/>
          <w:highlight w:val="none"/>
        </w:rPr>
      </w:pPr>
      <w:r>
        <w:rPr>
          <w:rFonts w:hint="eastAsia" w:ascii="仿宋_GB2312" w:hAnsi="宋体" w:eastAsia="仿宋_GB2312" w:cs="仿宋_GB2312"/>
          <w:color w:val="auto"/>
          <w:kern w:val="0"/>
          <w:sz w:val="24"/>
          <w:szCs w:val="24"/>
          <w:highlight w:val="none"/>
        </w:rPr>
        <w:t>（8）</w:t>
      </w:r>
      <w:r>
        <w:rPr>
          <w:rFonts w:hint="eastAsia" w:ascii="仿宋_GB2312" w:hAnsi="宋体" w:eastAsia="仿宋_GB2312" w:cs="仿宋_GB2312"/>
          <w:color w:val="auto"/>
          <w:sz w:val="24"/>
          <w:szCs w:val="24"/>
          <w:highlight w:val="none"/>
        </w:rPr>
        <w:t>租赁厂房存在人员生活居住情况的；</w:t>
      </w:r>
    </w:p>
    <w:p w14:paraId="035D2D3F">
      <w:pPr>
        <w:adjustRightInd w:val="0"/>
        <w:snapToGrid w:val="0"/>
        <w:spacing w:before="90" w:after="60"/>
        <w:ind w:firstLine="480" w:firstLineChars="200"/>
        <w:rPr>
          <w:rFonts w:ascii="仿宋_GB2312" w:hAnsi="宋体" w:eastAsia="仿宋_GB2312" w:cs="仿宋_GB2312"/>
          <w:color w:val="auto"/>
          <w:sz w:val="24"/>
          <w:szCs w:val="24"/>
          <w:highlight w:val="none"/>
        </w:rPr>
      </w:pPr>
      <w:r>
        <w:rPr>
          <w:rFonts w:hint="eastAsia" w:ascii="仿宋_GB2312" w:hAnsi="宋体" w:eastAsia="仿宋_GB2312" w:cs="仿宋_GB2312"/>
          <w:color w:val="auto"/>
          <w:sz w:val="24"/>
          <w:szCs w:val="24"/>
          <w:highlight w:val="none"/>
        </w:rPr>
        <w:t>（9）依法律规定或合同约定，其他构成根本违约的情形。</w:t>
      </w:r>
    </w:p>
    <w:p w14:paraId="7A839BFB">
      <w:pPr>
        <w:adjustRightInd w:val="0"/>
        <w:snapToGrid w:val="0"/>
        <w:spacing w:before="90" w:after="60"/>
        <w:ind w:firstLine="482" w:firstLineChars="200"/>
        <w:rPr>
          <w:rFonts w:ascii="仿宋_GB2312" w:hAnsi="宋体" w:eastAsia="仿宋_GB2312" w:cs="仿宋_GB2312"/>
          <w:b/>
          <w:bCs/>
          <w:color w:val="auto"/>
          <w:sz w:val="24"/>
          <w:szCs w:val="24"/>
          <w:highlight w:val="none"/>
        </w:rPr>
      </w:pPr>
      <w:r>
        <w:rPr>
          <w:rFonts w:hint="eastAsia" w:ascii="仿宋_GB2312" w:hAnsi="宋体" w:eastAsia="仿宋_GB2312" w:cs="仿宋_GB2312"/>
          <w:b/>
          <w:bCs/>
          <w:color w:val="auto"/>
          <w:sz w:val="24"/>
          <w:szCs w:val="24"/>
          <w:highlight w:val="none"/>
        </w:rPr>
        <w:t>4、租赁期间，如果租赁厂房经甲方委托的有资质的第三方房屋安全鉴定机构鉴定确认该房屋整体或房屋某部分不符合国家现行标准的安全性要求的，本合同自自甲方发出终止合同通知书之日即终止。甲方有权在本合同终止后收回房屋，乙方必须在通知要求时间内搬离租赁房屋，双方互不承担违约责任。</w:t>
      </w:r>
    </w:p>
    <w:p w14:paraId="3E61E92D">
      <w:pPr>
        <w:adjustRightInd w:val="0"/>
        <w:snapToGrid w:val="0"/>
        <w:spacing w:before="90" w:after="60"/>
        <w:ind w:firstLine="480" w:firstLineChars="200"/>
        <w:rPr>
          <w:rFonts w:ascii="仿宋_GB2312" w:hAnsi="宋体" w:eastAsia="仿宋_GB2312" w:cs="仿宋_GB2312"/>
          <w:color w:val="auto"/>
          <w:sz w:val="24"/>
          <w:szCs w:val="24"/>
          <w:highlight w:val="none"/>
        </w:rPr>
      </w:pPr>
      <w:r>
        <w:rPr>
          <w:rFonts w:hint="eastAsia" w:ascii="仿宋_GB2312" w:hAnsi="宋体" w:eastAsia="仿宋_GB2312" w:cs="仿宋_GB2312"/>
          <w:color w:val="auto"/>
          <w:sz w:val="24"/>
          <w:szCs w:val="24"/>
          <w:highlight w:val="none"/>
        </w:rPr>
        <w:t>5、租赁期间，如租赁厂房发生安全事故的，经有关部门鉴定确认事故发生在乙方负责维修维护、管理的部位和范围，则甲方有权解除本合同，收回厂房；同时乙方须承担相应的责任，并负责将厂房修复至交房时的状态或赔偿厂房修复的费用。</w:t>
      </w:r>
    </w:p>
    <w:p w14:paraId="6DE378DE">
      <w:pPr>
        <w:spacing w:before="90" w:after="60"/>
        <w:ind w:firstLine="477" w:firstLineChars="198"/>
        <w:rPr>
          <w:rFonts w:ascii="仿宋_GB2312" w:hAnsi="宋体" w:eastAsia="仿宋_GB2312" w:cs="仿宋_GB2312"/>
          <w:b/>
          <w:bCs/>
          <w:color w:val="auto"/>
          <w:sz w:val="24"/>
          <w:szCs w:val="24"/>
          <w:highlight w:val="none"/>
        </w:rPr>
      </w:pPr>
      <w:r>
        <w:rPr>
          <w:rFonts w:hint="eastAsia" w:ascii="仿宋_GB2312" w:hAnsi="宋体" w:eastAsia="仿宋_GB2312" w:cs="仿宋_GB2312"/>
          <w:b/>
          <w:bCs/>
          <w:color w:val="auto"/>
          <w:sz w:val="24"/>
          <w:szCs w:val="24"/>
          <w:highlight w:val="none"/>
        </w:rPr>
        <w:t>第十二条 违约责任</w:t>
      </w:r>
    </w:p>
    <w:p w14:paraId="0956E868">
      <w:pPr>
        <w:adjustRightInd w:val="0"/>
        <w:snapToGrid w:val="0"/>
        <w:spacing w:before="90" w:after="60"/>
        <w:ind w:firstLine="564" w:firstLineChars="235"/>
        <w:rPr>
          <w:rFonts w:ascii="仿宋_GB2312" w:hAnsi="宋体" w:eastAsia="仿宋_GB2312" w:cs="仿宋_GB2312"/>
          <w:color w:val="auto"/>
          <w:sz w:val="24"/>
          <w:szCs w:val="24"/>
          <w:highlight w:val="none"/>
        </w:rPr>
      </w:pPr>
      <w:r>
        <w:rPr>
          <w:rFonts w:hint="eastAsia" w:ascii="仿宋_GB2312" w:hAnsi="宋体" w:eastAsia="仿宋_GB2312" w:cs="仿宋_GB2312"/>
          <w:color w:val="auto"/>
          <w:sz w:val="24"/>
          <w:szCs w:val="24"/>
          <w:highlight w:val="none"/>
        </w:rPr>
        <w:t>1、租赁期内，乙方如逾期交纳租金及各项费用，自逾期缴纳该费用的次月第一日起，每逾期一日，须按未交纳租金及各项费用的万分之五向甲方支付违约金。</w:t>
      </w:r>
    </w:p>
    <w:p w14:paraId="334FA115">
      <w:pPr>
        <w:adjustRightInd w:val="0"/>
        <w:snapToGrid w:val="0"/>
        <w:spacing w:before="90" w:after="60"/>
        <w:ind w:firstLine="480" w:firstLineChars="200"/>
        <w:rPr>
          <w:rFonts w:ascii="仿宋_GB2312" w:hAnsi="宋体" w:eastAsia="仿宋_GB2312" w:cs="仿宋_GB2312"/>
          <w:color w:val="auto"/>
          <w:sz w:val="24"/>
          <w:szCs w:val="24"/>
          <w:highlight w:val="none"/>
        </w:rPr>
      </w:pPr>
      <w:r>
        <w:rPr>
          <w:rFonts w:hint="eastAsia" w:ascii="仿宋_GB2312" w:hAnsi="宋体" w:eastAsia="仿宋_GB2312" w:cs="仿宋_GB2312"/>
          <w:color w:val="auto"/>
          <w:sz w:val="24"/>
          <w:szCs w:val="24"/>
          <w:highlight w:val="none"/>
        </w:rPr>
        <w:t>2、租赁期内，若由甲方代缴各项费用后乙方逾期向甲方交纳的，除补足各项费用和按有关部门规定缴交相应的违约金外，还应按每逾期一日向甲方支付未付各项费用及其违约金总和万分之五的违约金。</w:t>
      </w:r>
    </w:p>
    <w:p w14:paraId="1DF1D727">
      <w:pPr>
        <w:adjustRightInd w:val="0"/>
        <w:snapToGrid w:val="0"/>
        <w:spacing w:before="90" w:after="60"/>
        <w:ind w:firstLine="480" w:firstLineChars="200"/>
        <w:rPr>
          <w:rFonts w:ascii="仿宋_GB2312" w:hAnsi="宋体" w:eastAsia="仿宋_GB2312"/>
          <w:color w:val="auto"/>
          <w:sz w:val="24"/>
          <w:szCs w:val="24"/>
          <w:highlight w:val="none"/>
        </w:rPr>
      </w:pPr>
      <w:r>
        <w:rPr>
          <w:rFonts w:hint="eastAsia" w:ascii="仿宋_GB2312" w:hAnsi="宋体" w:eastAsia="仿宋_GB2312" w:cs="仿宋_GB2312"/>
          <w:color w:val="auto"/>
          <w:sz w:val="24"/>
          <w:szCs w:val="24"/>
          <w:highlight w:val="none"/>
        </w:rPr>
        <w:t>3、乙方有本合同第十一条第3款约定行为的，甲方有权单方面解除租赁合同，已经收取的履约保证金、租金、物业管理费、厂房公共维修金、水电费等费用不予退还。同时，乙方还应向甲方支付相当于解除合同当期一个月月租金的违约金。</w:t>
      </w:r>
    </w:p>
    <w:p w14:paraId="6C7C31DD">
      <w:pPr>
        <w:adjustRightInd w:val="0"/>
        <w:snapToGrid w:val="0"/>
        <w:spacing w:before="90" w:after="60"/>
        <w:ind w:firstLine="480" w:firstLineChars="200"/>
        <w:rPr>
          <w:rFonts w:ascii="仿宋_GB2312" w:hAnsi="宋体" w:eastAsia="仿宋_GB2312" w:cs="仿宋_GB2312"/>
          <w:color w:val="auto"/>
          <w:sz w:val="24"/>
          <w:szCs w:val="24"/>
          <w:highlight w:val="none"/>
        </w:rPr>
      </w:pPr>
      <w:r>
        <w:rPr>
          <w:rFonts w:hint="eastAsia" w:ascii="仿宋_GB2312" w:hAnsi="宋体" w:eastAsia="仿宋_GB2312" w:cs="仿宋_GB2312"/>
          <w:color w:val="auto"/>
          <w:sz w:val="24"/>
          <w:szCs w:val="24"/>
          <w:highlight w:val="none"/>
        </w:rPr>
        <w:t>4、租赁期内，一方以非本合同项下</w:t>
      </w:r>
      <w:r>
        <w:rPr>
          <w:rFonts w:hint="eastAsia" w:ascii="仿宋_GB2312" w:hAnsi="宋体" w:eastAsia="仿宋_GB2312" w:cs="仿宋_GB2312"/>
          <w:color w:val="auto"/>
          <w:sz w:val="24"/>
          <w:szCs w:val="24"/>
          <w:highlight w:val="none"/>
        </w:rPr>
        <w:t>第十一条</w:t>
      </w:r>
      <w:r>
        <w:rPr>
          <w:rFonts w:hint="eastAsia" w:ascii="仿宋_GB2312" w:hAnsi="宋体" w:eastAsia="仿宋_GB2312" w:cs="仿宋_GB2312"/>
          <w:color w:val="auto"/>
          <w:sz w:val="24"/>
          <w:szCs w:val="24"/>
          <w:highlight w:val="none"/>
        </w:rPr>
        <w:t>约定的理由提前解除合同的，应提前三个月书面通知对方，并向守约方支付相当于解除合同当期一个月月租金的违约金。</w:t>
      </w:r>
    </w:p>
    <w:p w14:paraId="1770FE0B">
      <w:pPr>
        <w:adjustRightInd w:val="0"/>
        <w:snapToGrid w:val="0"/>
        <w:spacing w:before="90" w:after="60"/>
        <w:ind w:firstLine="564" w:firstLineChars="235"/>
        <w:rPr>
          <w:rFonts w:ascii="仿宋_GB2312" w:hAnsi="宋体" w:eastAsia="仿宋_GB2312" w:cs="仿宋_GB2312"/>
          <w:color w:val="auto"/>
          <w:sz w:val="24"/>
          <w:szCs w:val="24"/>
          <w:highlight w:val="none"/>
        </w:rPr>
      </w:pPr>
      <w:r>
        <w:rPr>
          <w:rFonts w:hint="eastAsia" w:ascii="仿宋_GB2312" w:hAnsi="宋体" w:eastAsia="仿宋_GB2312" w:cs="仿宋_GB2312"/>
          <w:color w:val="auto"/>
          <w:sz w:val="24"/>
          <w:szCs w:val="24"/>
          <w:highlight w:val="none"/>
        </w:rPr>
        <w:t>5、本合同期满或提前解除、终止后，乙方应按本合同约定返还租赁厂房及办理完毕租赁厂房项下的工商、税务等住所登记或经营场所备案等迁移或撤销手续。逾期时间未超过30日的，每逾期一日应向甲方支付相当于日租金双倍的厂房占用费；逾期时间超过30日的，从逾期搬离之日计至实际搬离之日，每逾期一日应向甲方支付相当于日租金三倍的厂房占用费。若逾期返还租赁厂房给甲方造成的损失超过厂房占用费的，乙方应按实际损失予以赔偿。</w:t>
      </w:r>
    </w:p>
    <w:p w14:paraId="1074BD2D">
      <w:pPr>
        <w:adjustRightInd w:val="0"/>
        <w:snapToGrid w:val="0"/>
        <w:spacing w:before="90" w:after="60"/>
        <w:ind w:firstLine="480" w:firstLineChars="200"/>
        <w:rPr>
          <w:rFonts w:ascii="仿宋_GB2312" w:hAnsi="宋体" w:eastAsia="仿宋_GB2312" w:cs="仿宋_GB2312"/>
          <w:color w:val="auto"/>
          <w:sz w:val="24"/>
          <w:szCs w:val="24"/>
          <w:highlight w:val="none"/>
        </w:rPr>
      </w:pPr>
      <w:r>
        <w:rPr>
          <w:rFonts w:hint="eastAsia" w:ascii="仿宋_GB2312" w:hAnsi="宋体" w:eastAsia="仿宋_GB2312" w:cs="仿宋_GB2312"/>
          <w:color w:val="auto"/>
          <w:sz w:val="24"/>
          <w:szCs w:val="24"/>
          <w:highlight w:val="none"/>
        </w:rPr>
        <w:t>6、若乙方逾期支付各项费用超过30日或在本合同已解除、终止时未予退房的，乙方除按本条第1～5款承担违约责任外，并自愿接受甲方或物业管理公司采取包括对乙方停水、停电等一切合法有效措施催促其履行付款或退房义务，所造成的一切损失由乙方承担。</w:t>
      </w:r>
    </w:p>
    <w:p w14:paraId="6F37869B">
      <w:pPr>
        <w:widowControl/>
        <w:autoSpaceDE w:val="0"/>
        <w:autoSpaceDN w:val="0"/>
        <w:adjustRightInd w:val="0"/>
        <w:snapToGrid w:val="0"/>
        <w:spacing w:before="90" w:after="60"/>
        <w:ind w:firstLine="480" w:firstLineChars="200"/>
        <w:textAlignment w:val="bottom"/>
        <w:rPr>
          <w:rFonts w:ascii="仿宋_GB2312" w:hAnsi="宋体" w:eastAsia="仿宋_GB2312" w:cs="仿宋_GB2312"/>
          <w:color w:val="auto"/>
          <w:sz w:val="24"/>
          <w:szCs w:val="24"/>
          <w:highlight w:val="none"/>
        </w:rPr>
      </w:pPr>
      <w:r>
        <w:rPr>
          <w:rFonts w:hint="eastAsia" w:ascii="仿宋_GB2312" w:hAnsi="宋体" w:eastAsia="仿宋_GB2312" w:cs="仿宋_GB2312"/>
          <w:color w:val="auto"/>
          <w:sz w:val="24"/>
          <w:szCs w:val="24"/>
          <w:highlight w:val="none"/>
        </w:rPr>
        <w:t>7、乙方在此同意，倘若在任何时间内租赁厂房的水、电供应停止或租赁厂房任何公共设施停止运作，甲方不必对乙方或任何其它人士负责。如因不可抗力原因导致租赁厂房损坏或致使乙方遭受损失的，双方互不承担责任。</w:t>
      </w:r>
    </w:p>
    <w:p w14:paraId="77042379">
      <w:pPr>
        <w:widowControl/>
        <w:autoSpaceDE w:val="0"/>
        <w:autoSpaceDN w:val="0"/>
        <w:adjustRightInd w:val="0"/>
        <w:snapToGrid w:val="0"/>
        <w:spacing w:before="90" w:after="60"/>
        <w:ind w:firstLine="480" w:firstLineChars="200"/>
        <w:textAlignment w:val="bottom"/>
        <w:rPr>
          <w:rFonts w:ascii="仿宋_GB2312" w:hAnsi="宋体" w:eastAsia="仿宋_GB2312" w:cs="仿宋_GB2312"/>
          <w:color w:val="auto"/>
          <w:sz w:val="24"/>
          <w:szCs w:val="24"/>
          <w:highlight w:val="none"/>
        </w:rPr>
      </w:pPr>
      <w:r>
        <w:rPr>
          <w:rFonts w:hint="eastAsia" w:ascii="仿宋_GB2312" w:hAnsi="宋体" w:eastAsia="仿宋_GB2312"/>
          <w:color w:val="auto"/>
          <w:sz w:val="24"/>
          <w:szCs w:val="24"/>
          <w:highlight w:val="none"/>
        </w:rPr>
        <w:t>8、</w:t>
      </w:r>
      <w:r>
        <w:rPr>
          <w:rFonts w:hint="eastAsia" w:ascii="仿宋_GB2312" w:hAnsi="宋体" w:eastAsia="仿宋_GB2312" w:cs="仿宋_GB2312"/>
          <w:color w:val="auto"/>
          <w:sz w:val="24"/>
          <w:szCs w:val="24"/>
          <w:highlight w:val="none"/>
        </w:rPr>
        <w:t>租赁厂房内的任何部分因通讯的失效、故障、暂停，或因有水、烟、火、有害气体或任何其它物质泄漏，或因老鼠、白蚁、蟑螂、其它害虫的滋生，或因遭受爆炸、盗窃、抢劫，或因其它损害，而对乙方或任何其它人士造成的任何个人或财物上的损失或破坏。乙方在此声明，如上述情况非因甲方的过失直接引起，甲方无需对乙方或任何其它人士承担责任，乙方应直接与造成损害的直接责任方交涉。</w:t>
      </w:r>
    </w:p>
    <w:p w14:paraId="6C0420F3">
      <w:pPr>
        <w:widowControl/>
        <w:autoSpaceDE w:val="0"/>
        <w:autoSpaceDN w:val="0"/>
        <w:adjustRightInd w:val="0"/>
        <w:snapToGrid w:val="0"/>
        <w:spacing w:before="90" w:after="60"/>
        <w:ind w:firstLine="480" w:firstLineChars="200"/>
        <w:textAlignment w:val="bottom"/>
        <w:rPr>
          <w:rFonts w:ascii="仿宋_GB2312" w:hAnsi="宋体" w:eastAsia="仿宋_GB2312" w:cs="Calibri"/>
          <w:color w:val="auto"/>
          <w:sz w:val="24"/>
          <w:szCs w:val="21"/>
          <w:highlight w:val="none"/>
        </w:rPr>
      </w:pPr>
      <w:r>
        <w:rPr>
          <w:rFonts w:hint="eastAsia" w:ascii="仿宋_GB2312" w:hAnsi="宋体" w:eastAsia="仿宋_GB2312"/>
          <w:color w:val="auto"/>
          <w:sz w:val="24"/>
          <w:szCs w:val="24"/>
          <w:highlight w:val="none"/>
        </w:rPr>
        <w:t>9、</w:t>
      </w:r>
      <w:r>
        <w:rPr>
          <w:rFonts w:hint="eastAsia" w:ascii="仿宋_GB2312" w:hAnsi="宋体" w:eastAsia="仿宋_GB2312" w:cs="仿宋_GB2312"/>
          <w:color w:val="auto"/>
          <w:sz w:val="24"/>
          <w:szCs w:val="24"/>
          <w:highlight w:val="none"/>
        </w:rPr>
        <w:t>甲方向租赁厂房提供的安保、管理人员、任何性质的机械、电子防盗系统，将不构成甲方有义务负责租赁厂房或其内财物的保安、保管。乙方在任何时间都应自行对租赁</w:t>
      </w:r>
      <w:r>
        <w:rPr>
          <w:rFonts w:hint="eastAsia" w:ascii="仿宋_GB2312" w:hAnsi="宋体" w:eastAsia="仿宋_GB2312" w:cs="Calibri"/>
          <w:color w:val="auto"/>
          <w:sz w:val="24"/>
          <w:szCs w:val="21"/>
          <w:highlight w:val="none"/>
        </w:rPr>
        <w:t>厂房或其内财物负责。</w:t>
      </w:r>
    </w:p>
    <w:p w14:paraId="05A9236E">
      <w:pPr>
        <w:spacing w:before="90" w:after="60"/>
        <w:ind w:firstLine="480" w:firstLineChars="200"/>
        <w:rPr>
          <w:rFonts w:ascii="仿宋_GB2312" w:hAnsi="宋体" w:eastAsia="仿宋_GB2312" w:cs="Calibri"/>
          <w:color w:val="auto"/>
          <w:sz w:val="24"/>
          <w:szCs w:val="21"/>
          <w:highlight w:val="none"/>
        </w:rPr>
      </w:pPr>
      <w:r>
        <w:rPr>
          <w:rFonts w:hint="eastAsia" w:ascii="仿宋_GB2312" w:hAnsi="宋体" w:eastAsia="仿宋_GB2312" w:cs="仿宋_GB2312"/>
          <w:color w:val="auto"/>
          <w:sz w:val="24"/>
          <w:szCs w:val="24"/>
          <w:highlight w:val="none"/>
        </w:rPr>
        <w:t>10、以乙方承诺履行本合同约定的全部租期、不提前解除或终止合同为前提，甲方同意乙方按合同约定的方式缴纳租金并享有相关租金优惠政策。为此，乙方同意并确认，若由于乙方原因导致本合同提前解除或终止的，乙方须按比例向甲方补交因给予乙方租金优惠政策所产生相对应的租金（计算方式为：优惠的租金总金额</w:t>
      </w:r>
      <w:r>
        <w:rPr>
          <w:rFonts w:eastAsia="仿宋_GB2312" w:cs="Arial"/>
          <w:color w:val="auto"/>
          <w:sz w:val="24"/>
          <w:szCs w:val="24"/>
          <w:highlight w:val="none"/>
        </w:rPr>
        <w:t>×</w:t>
      </w:r>
      <w:r>
        <w:rPr>
          <w:rFonts w:hint="eastAsia" w:eastAsia="仿宋_GB2312" w:cs="Arial"/>
          <w:color w:val="auto"/>
          <w:sz w:val="24"/>
          <w:szCs w:val="24"/>
          <w:highlight w:val="none"/>
        </w:rPr>
        <w:t>实际未履行租期</w:t>
      </w:r>
      <w:r>
        <w:rPr>
          <w:rFonts w:eastAsia="仿宋_GB2312" w:cs="Arial"/>
          <w:color w:val="auto"/>
          <w:sz w:val="24"/>
          <w:szCs w:val="24"/>
          <w:highlight w:val="none"/>
        </w:rPr>
        <w:t>÷</w:t>
      </w:r>
      <w:r>
        <w:rPr>
          <w:rFonts w:hint="eastAsia" w:eastAsia="仿宋_GB2312" w:cs="Arial"/>
          <w:color w:val="auto"/>
          <w:sz w:val="24"/>
          <w:szCs w:val="24"/>
          <w:highlight w:val="none"/>
        </w:rPr>
        <w:t>合同约定的总租期，</w:t>
      </w:r>
      <w:r>
        <w:rPr>
          <w:rFonts w:hint="eastAsia" w:ascii="仿宋_GB2312" w:hAnsi="宋体" w:eastAsia="仿宋_GB2312" w:cs="仿宋_GB2312"/>
          <w:color w:val="auto"/>
          <w:sz w:val="24"/>
          <w:szCs w:val="24"/>
          <w:highlight w:val="none"/>
        </w:rPr>
        <w:t>甲方有权在履约保证金中直接扣除）（选择性条款）</w:t>
      </w:r>
    </w:p>
    <w:p w14:paraId="1F1BC0CE">
      <w:pPr>
        <w:spacing w:before="90" w:after="60"/>
        <w:ind w:firstLine="477" w:firstLineChars="198"/>
        <w:rPr>
          <w:rFonts w:ascii="仿宋_GB2312" w:hAnsi="宋体" w:eastAsia="仿宋_GB2312" w:cs="仿宋_GB2312"/>
          <w:b/>
          <w:bCs/>
          <w:color w:val="auto"/>
          <w:sz w:val="24"/>
          <w:szCs w:val="24"/>
          <w:highlight w:val="none"/>
        </w:rPr>
      </w:pPr>
      <w:r>
        <w:rPr>
          <w:rFonts w:hint="eastAsia" w:ascii="仿宋_GB2312" w:hAnsi="宋体" w:eastAsia="仿宋_GB2312" w:cs="仿宋_GB2312"/>
          <w:b/>
          <w:bCs/>
          <w:color w:val="auto"/>
          <w:sz w:val="24"/>
          <w:szCs w:val="24"/>
          <w:highlight w:val="none"/>
        </w:rPr>
        <w:t>第十三条 不可抗力</w:t>
      </w:r>
    </w:p>
    <w:p w14:paraId="1C2ED11C">
      <w:pPr>
        <w:adjustRightInd w:val="0"/>
        <w:snapToGrid w:val="0"/>
        <w:spacing w:before="90" w:after="60"/>
        <w:ind w:firstLine="480" w:firstLineChars="200"/>
        <w:rPr>
          <w:rFonts w:ascii="仿宋_GB2312" w:hAnsi="宋体" w:eastAsia="仿宋_GB2312"/>
          <w:color w:val="auto"/>
          <w:sz w:val="24"/>
          <w:szCs w:val="24"/>
          <w:highlight w:val="none"/>
        </w:rPr>
      </w:pPr>
      <w:r>
        <w:rPr>
          <w:rFonts w:hint="eastAsia" w:ascii="仿宋_GB2312" w:hAnsi="宋体" w:eastAsia="仿宋_GB2312" w:cs="仿宋_GB2312"/>
          <w:color w:val="auto"/>
          <w:sz w:val="24"/>
          <w:szCs w:val="24"/>
          <w:highlight w:val="none"/>
        </w:rPr>
        <w:t>1、因下列不可抗力因素导致合同无法履行的，不属于甲、乙方违约，任何一方均有权提前解除或终止合同，且互不追究违约责任：（1）地震、台风等自然灾害；（2）政府厂房租赁政策变化、政府规划建设需要、政府强制征用拆迁等政府行为，致使必须终止合同的。</w:t>
      </w:r>
    </w:p>
    <w:p w14:paraId="574C38C5">
      <w:pPr>
        <w:adjustRightInd w:val="0"/>
        <w:snapToGrid w:val="0"/>
        <w:spacing w:before="90" w:after="60"/>
        <w:ind w:firstLine="480" w:firstLineChars="200"/>
        <w:rPr>
          <w:rFonts w:ascii="仿宋_GB2312" w:hAnsi="宋体" w:eastAsia="仿宋_GB2312"/>
          <w:color w:val="auto"/>
          <w:sz w:val="24"/>
          <w:szCs w:val="24"/>
          <w:highlight w:val="none"/>
        </w:rPr>
      </w:pPr>
      <w:r>
        <w:rPr>
          <w:rFonts w:hint="eastAsia" w:ascii="仿宋_GB2312" w:hAnsi="宋体" w:eastAsia="仿宋_GB2312" w:cs="仿宋_GB2312"/>
          <w:color w:val="auto"/>
          <w:sz w:val="24"/>
          <w:szCs w:val="24"/>
          <w:highlight w:val="none"/>
        </w:rPr>
        <w:t>2、本条第1款第（1）项约定的不可抗力情形发生后，提出因该情形提前解除或终止合同的一方，应于不可抗力情形结束后15日内书面告知对方，并提交发生不可抗力情形所在地有关权威部门出具的合法有效证明。不提供该合法有效证明的，不适用免责条款。</w:t>
      </w:r>
    </w:p>
    <w:p w14:paraId="187476F5">
      <w:pPr>
        <w:adjustRightInd w:val="0"/>
        <w:snapToGrid w:val="0"/>
        <w:spacing w:before="90" w:after="60"/>
        <w:ind w:firstLine="480" w:firstLineChars="200"/>
        <w:rPr>
          <w:rFonts w:ascii="仿宋_GB2312" w:hAnsi="宋体" w:eastAsia="仿宋_GB2312"/>
          <w:color w:val="auto"/>
          <w:sz w:val="24"/>
          <w:szCs w:val="24"/>
          <w:highlight w:val="none"/>
        </w:rPr>
      </w:pPr>
      <w:r>
        <w:rPr>
          <w:rFonts w:hint="eastAsia" w:ascii="仿宋_GB2312" w:hAnsi="宋体" w:eastAsia="仿宋_GB2312" w:cs="仿宋_GB2312"/>
          <w:color w:val="auto"/>
          <w:sz w:val="24"/>
          <w:szCs w:val="24"/>
          <w:highlight w:val="none"/>
        </w:rPr>
        <w:t>3、本条第1款第（2）项约定的不可抗力情形发生后，甲方应提前书面通知乙方，乙方应在甲方通知的期限内或政府规定的期限内将租赁厂房按本合同第九条约定移交给甲方。若政府有对装饰装修物、改扩、增添的附属设备设施进行补偿，该补偿归乙方所有，由此所造成的损失由各方自行承担。若政府有对除装饰装修物、改扩、增添的附属设备设施以外进行补偿，该补偿归甲方所有。</w:t>
      </w:r>
    </w:p>
    <w:p w14:paraId="07E9C32B">
      <w:pPr>
        <w:spacing w:before="90" w:after="60"/>
        <w:ind w:firstLine="477" w:firstLineChars="198"/>
        <w:rPr>
          <w:rFonts w:ascii="仿宋_GB2312" w:hAnsi="宋体" w:eastAsia="仿宋_GB2312" w:cs="仿宋_GB2312"/>
          <w:b/>
          <w:bCs/>
          <w:color w:val="auto"/>
          <w:sz w:val="24"/>
          <w:szCs w:val="24"/>
          <w:highlight w:val="none"/>
        </w:rPr>
      </w:pPr>
      <w:r>
        <w:rPr>
          <w:rFonts w:hint="eastAsia" w:ascii="仿宋_GB2312" w:hAnsi="宋体" w:eastAsia="仿宋_GB2312" w:cs="仿宋_GB2312"/>
          <w:b/>
          <w:bCs/>
          <w:color w:val="auto"/>
          <w:sz w:val="24"/>
          <w:szCs w:val="24"/>
          <w:highlight w:val="none"/>
        </w:rPr>
        <w:t>第十四条 争议解决</w:t>
      </w:r>
    </w:p>
    <w:p w14:paraId="68BAB7C9">
      <w:pPr>
        <w:adjustRightInd w:val="0"/>
        <w:snapToGrid w:val="0"/>
        <w:spacing w:before="90" w:after="60"/>
        <w:ind w:firstLine="480" w:firstLineChars="200"/>
        <w:rPr>
          <w:rFonts w:ascii="仿宋_GB2312" w:hAnsi="宋体" w:eastAsia="仿宋_GB2312" w:cs="仿宋_GB2312"/>
          <w:color w:val="auto"/>
          <w:sz w:val="24"/>
          <w:szCs w:val="24"/>
          <w:highlight w:val="none"/>
        </w:rPr>
      </w:pPr>
      <w:r>
        <w:rPr>
          <w:rFonts w:hint="eastAsia" w:ascii="仿宋_GB2312" w:hAnsi="宋体" w:eastAsia="仿宋_GB2312" w:cs="仿宋_GB2312"/>
          <w:color w:val="auto"/>
          <w:sz w:val="24"/>
          <w:szCs w:val="24"/>
          <w:highlight w:val="none"/>
        </w:rPr>
        <w:t>本合同当事人应诚意执行合同约定，若在履行本合同时发生争议，由甲乙双方及时协商解决，协商不成的，任何一方有权向厂房所在地有管辖权的人民法院提出诉讼。</w:t>
      </w:r>
    </w:p>
    <w:p w14:paraId="799A613C">
      <w:pPr>
        <w:spacing w:before="90" w:after="60"/>
        <w:ind w:firstLine="477" w:firstLineChars="198"/>
        <w:rPr>
          <w:rFonts w:ascii="仿宋_GB2312" w:hAnsi="宋体" w:eastAsia="仿宋_GB2312" w:cs="仿宋_GB2312"/>
          <w:b/>
          <w:bCs/>
          <w:color w:val="auto"/>
          <w:sz w:val="24"/>
          <w:szCs w:val="24"/>
          <w:highlight w:val="none"/>
        </w:rPr>
      </w:pPr>
      <w:r>
        <w:rPr>
          <w:rFonts w:hint="eastAsia" w:ascii="仿宋_GB2312" w:hAnsi="宋体" w:eastAsia="仿宋_GB2312" w:cs="仿宋_GB2312"/>
          <w:b/>
          <w:bCs/>
          <w:color w:val="auto"/>
          <w:sz w:val="24"/>
          <w:szCs w:val="24"/>
          <w:highlight w:val="none"/>
        </w:rPr>
        <w:t>第十五条 其他约定条款</w:t>
      </w:r>
    </w:p>
    <w:p w14:paraId="6EB48B75">
      <w:pPr>
        <w:tabs>
          <w:tab w:val="left" w:pos="1620"/>
        </w:tabs>
        <w:spacing w:before="90" w:after="60"/>
        <w:ind w:firstLine="482" w:firstLineChars="200"/>
        <w:jc w:val="left"/>
        <w:rPr>
          <w:rFonts w:ascii="仿宋_GB2312" w:hAnsi="宋体" w:cs="仿宋_GB2312"/>
          <w:color w:val="auto"/>
          <w:sz w:val="24"/>
          <w:szCs w:val="24"/>
          <w:highlight w:val="none"/>
        </w:rPr>
      </w:pPr>
      <w:r>
        <w:rPr>
          <w:rFonts w:hint="eastAsia" w:ascii="仿宋_GB2312" w:hAnsi="宋体" w:cs="仿宋_GB2312"/>
          <w:b/>
          <w:bCs/>
          <w:color w:val="auto"/>
          <w:sz w:val="24"/>
          <w:szCs w:val="24"/>
          <w:highlight w:val="none"/>
        </w:rPr>
        <w:t>1、</w:t>
      </w:r>
      <w:r>
        <w:rPr>
          <w:rFonts w:hint="eastAsia" w:ascii="仿宋_GB2312" w:eastAsia="仿宋_GB2312" w:cs="宋体"/>
          <w:b/>
          <w:bCs/>
          <w:color w:val="auto"/>
          <w:sz w:val="24"/>
          <w:szCs w:val="24"/>
          <w:highlight w:val="none"/>
        </w:rPr>
        <w:t>如乙方因经营不善等原因确需转租的，应当提前一个月向甲方提交书面转租申请、次承租人主体信息/身份信息及转租合同文本，经甲方书面同意后方可转租。乙方与次承租人最终签订的转租合同应与甲方批准的转租合同文本一致，并应于签订后5日内报备至甲方。</w:t>
      </w:r>
    </w:p>
    <w:p w14:paraId="4709100D">
      <w:pPr>
        <w:tabs>
          <w:tab w:val="left" w:pos="1620"/>
        </w:tabs>
        <w:spacing w:before="90" w:after="60"/>
        <w:ind w:firstLine="482" w:firstLineChars="200"/>
        <w:jc w:val="left"/>
        <w:rPr>
          <w:rFonts w:ascii="仿宋_GB2312" w:eastAsia="仿宋_GB2312" w:cs="宋体"/>
          <w:bCs/>
          <w:color w:val="auto"/>
          <w:sz w:val="24"/>
          <w:szCs w:val="24"/>
          <w:highlight w:val="none"/>
        </w:rPr>
      </w:pPr>
      <w:r>
        <w:rPr>
          <w:rFonts w:hint="eastAsia" w:ascii="仿宋_GB2312" w:eastAsia="仿宋_GB2312" w:cs="宋体"/>
          <w:b/>
          <w:color w:val="auto"/>
          <w:sz w:val="24"/>
          <w:szCs w:val="24"/>
          <w:highlight w:val="none"/>
        </w:rPr>
        <w:t>2、乙方有意于本合同租赁期限届满后继续承租租赁厂房的，应当至少于租赁期限届满前3个月向甲方提交书面续租申请。是否同意续租，由甲方根据法律规定、国资监管要求及甲方自身决策流程自主决定。乙方接受甲方的续租方案的，双方可以于租赁期限届满前另行签订租赁合同。若双方未能就续租事宜达成一致，甲方有权于本合同期限届满后收回租赁厂房或重新招租。</w:t>
      </w:r>
    </w:p>
    <w:p w14:paraId="08850D90">
      <w:pPr>
        <w:adjustRightInd w:val="0"/>
        <w:snapToGrid w:val="0"/>
        <w:spacing w:before="90" w:after="60"/>
        <w:ind w:firstLine="480" w:firstLineChars="200"/>
        <w:rPr>
          <w:rFonts w:ascii="仿宋_GB2312" w:hAnsi="宋体" w:eastAsia="仿宋_GB2312"/>
          <w:color w:val="auto"/>
          <w:sz w:val="24"/>
          <w:szCs w:val="24"/>
          <w:highlight w:val="none"/>
        </w:rPr>
      </w:pPr>
      <w:r>
        <w:rPr>
          <w:rFonts w:hint="eastAsia" w:ascii="仿宋_GB2312" w:hAnsi="宋体" w:eastAsia="仿宋_GB2312" w:cs="仿宋_GB2312"/>
          <w:color w:val="auto"/>
          <w:sz w:val="24"/>
          <w:szCs w:val="24"/>
          <w:highlight w:val="none"/>
        </w:rPr>
        <w:t>3、本合同项下告知、通知等正式文书，除另有约定外，均须以书面方式进行。本合同首部所确认的通讯地址（在乙方正式搬入租赁厂房后该地址变更为租赁厂房）、联系方式（含电话、联系人及传真、电子邮箱）为双方确认有效的送达地址、联系方式，在履行本合同中双方有任何争议，任何一方向该地址送达即视为有效送达（即使退件也不例外）。若其中一方地址或联系方式（含电话、联系人及传真）发生变化，应立即书面通知另一方，双方重新确认，否则对方向原地址送达或以原方式送达即视为有效送达（即使退件也不例外）。送达时间以制作文书方按照前述约定地址寄出之日起算三个工作日即视为送达。</w:t>
      </w:r>
    </w:p>
    <w:p w14:paraId="560C60C6">
      <w:pPr>
        <w:pStyle w:val="6"/>
        <w:adjustRightInd w:val="0"/>
        <w:snapToGrid w:val="0"/>
        <w:spacing w:after="60"/>
        <w:ind w:firstLine="420" w:firstLineChars="200"/>
        <w:rPr>
          <w:rFonts w:ascii="仿宋_GB2312" w:hAnsi="宋体" w:eastAsia="仿宋_GB2312"/>
          <w:color w:val="auto"/>
          <w:highlight w:val="none"/>
        </w:rPr>
      </w:pPr>
      <w:r>
        <w:rPr>
          <w:rFonts w:hint="eastAsia" w:ascii="仿宋_GB2312" w:hAnsi="宋体" w:eastAsia="仿宋_GB2312" w:cs="仿宋_GB2312"/>
          <w:color w:val="auto"/>
          <w:highlight w:val="none"/>
        </w:rPr>
        <w:t>4、本合同项下的日租金计算方式为：解除合同当期一个月月租金/30日。</w:t>
      </w:r>
    </w:p>
    <w:p w14:paraId="2B776E36">
      <w:pPr>
        <w:adjustRightInd w:val="0"/>
        <w:snapToGrid w:val="0"/>
        <w:spacing w:before="90" w:after="60"/>
        <w:ind w:firstLine="480" w:firstLineChars="200"/>
        <w:rPr>
          <w:rFonts w:ascii="仿宋_GB2312" w:hAnsi="宋体" w:eastAsia="仿宋_GB2312" w:cs="仿宋_GB2312"/>
          <w:color w:val="auto"/>
          <w:sz w:val="24"/>
          <w:szCs w:val="24"/>
          <w:highlight w:val="none"/>
        </w:rPr>
      </w:pPr>
      <w:r>
        <w:rPr>
          <w:rFonts w:hint="eastAsia" w:ascii="仿宋_GB2312" w:hAnsi="宋体" w:eastAsia="仿宋_GB2312" w:cs="仿宋_GB2312"/>
          <w:color w:val="auto"/>
          <w:sz w:val="24"/>
          <w:szCs w:val="24"/>
          <w:highlight w:val="none"/>
        </w:rPr>
        <w:t>5、合同解除：本合同项下的合同解除日期，解除文书以邮寄送达的，邮寄送达之日为合同解除之日；上门送达的，对方盖公章确认之日即为合同解除之日；电子邮箱送达的，发送当日为合同解除之日。同时有多种送达方式的，以最先送达日为合同解除之日，对合同解除有异议的，应在</w:t>
      </w:r>
      <w:r>
        <w:rPr>
          <w:rFonts w:hint="eastAsia" w:ascii="仿宋_GB2312" w:hAnsi="宋体" w:eastAsia="仿宋_GB2312" w:cs="仿宋_GB2312"/>
          <w:color w:val="auto"/>
          <w:sz w:val="24"/>
          <w:szCs w:val="24"/>
          <w:highlight w:val="none"/>
        </w:rPr>
        <w:t>合同解除之日起7日内以书面形式向提出解除合同的一方提出。</w:t>
      </w:r>
    </w:p>
    <w:p w14:paraId="71456AE0">
      <w:pPr>
        <w:tabs>
          <w:tab w:val="left" w:pos="1620"/>
        </w:tabs>
        <w:spacing w:before="90" w:after="60"/>
        <w:ind w:firstLine="480" w:firstLineChars="200"/>
        <w:jc w:val="left"/>
        <w:rPr>
          <w:rFonts w:ascii="仿宋_GB2312" w:hAnsi="宋体" w:eastAsia="仿宋_GB2312"/>
          <w:color w:val="auto"/>
          <w:sz w:val="24"/>
          <w:szCs w:val="24"/>
          <w:highlight w:val="none"/>
        </w:rPr>
      </w:pPr>
      <w:r>
        <w:rPr>
          <w:rFonts w:hint="eastAsia" w:ascii="仿宋_GB2312" w:hAnsi="宋体" w:eastAsia="仿宋_GB2312" w:cs="仿宋_GB2312"/>
          <w:color w:val="auto"/>
          <w:sz w:val="24"/>
          <w:szCs w:val="24"/>
          <w:highlight w:val="none"/>
        </w:rPr>
        <w:t>5、合同终止：本合同项下的合同终止日期，以双方协议文本上约定的终止具体日期为准，未载明具体日期的，签订终止协议之日即为终止日。</w:t>
      </w:r>
    </w:p>
    <w:p w14:paraId="500DDEA6">
      <w:pPr>
        <w:adjustRightInd w:val="0"/>
        <w:snapToGrid w:val="0"/>
        <w:spacing w:before="90" w:after="60"/>
        <w:ind w:firstLine="480" w:firstLineChars="200"/>
        <w:rPr>
          <w:rFonts w:ascii="仿宋_GB2312" w:hAnsi="宋体" w:eastAsia="仿宋_GB2312" w:cs="仿宋_GB2312"/>
          <w:color w:val="auto"/>
          <w:sz w:val="24"/>
          <w:szCs w:val="24"/>
          <w:highlight w:val="none"/>
        </w:rPr>
      </w:pPr>
      <w:r>
        <w:rPr>
          <w:rFonts w:hint="eastAsia" w:ascii="仿宋_GB2312" w:hAnsi="宋体" w:eastAsia="仿宋_GB2312" w:cs="仿宋_GB2312"/>
          <w:color w:val="auto"/>
          <w:sz w:val="24"/>
          <w:szCs w:val="24"/>
          <w:highlight w:val="none"/>
        </w:rPr>
        <w:t>6、若乙方违约或造成甲方损失的，乙方应全额（包括但不限于甲方追讨过程中产生的诉讼费、保全费、财产保全担保费、公告费、律师费、执</w:t>
      </w:r>
      <w:r>
        <w:rPr>
          <w:rFonts w:hint="eastAsia" w:ascii="仿宋_GB2312" w:hAnsi="宋体" w:eastAsia="仿宋_GB2312" w:cs="仿宋_GB2312"/>
          <w:color w:val="auto"/>
          <w:sz w:val="24"/>
          <w:szCs w:val="24"/>
          <w:highlight w:val="none"/>
        </w:rPr>
        <w:t>行费、清场费等实际发生费用）赔偿，并承担违约责任。</w:t>
      </w:r>
    </w:p>
    <w:p w14:paraId="2237CAF2">
      <w:pPr>
        <w:tabs>
          <w:tab w:val="left" w:pos="1620"/>
        </w:tabs>
        <w:adjustRightInd w:val="0"/>
        <w:snapToGrid w:val="0"/>
        <w:spacing w:before="90" w:after="60"/>
        <w:ind w:firstLine="480" w:firstLineChars="200"/>
        <w:jc w:val="left"/>
        <w:rPr>
          <w:rFonts w:ascii="仿宋_GB2312" w:hAnsi="宋体" w:eastAsia="仿宋_GB2312"/>
          <w:color w:val="auto"/>
          <w:sz w:val="24"/>
          <w:szCs w:val="24"/>
          <w:highlight w:val="none"/>
        </w:rPr>
      </w:pPr>
      <w:r>
        <w:rPr>
          <w:rFonts w:hint="eastAsia" w:ascii="仿宋_GB2312" w:hAnsi="宋体" w:eastAsia="仿宋_GB2312" w:cs="仿宋_GB2312"/>
          <w:color w:val="auto"/>
          <w:sz w:val="24"/>
          <w:szCs w:val="24"/>
          <w:highlight w:val="none"/>
        </w:rPr>
        <w:t>7、本合同签订时，乙方应同时签订《安全生产管理协议》，作为本合同的组成部分，具有同等的法律效力。</w:t>
      </w:r>
    </w:p>
    <w:p w14:paraId="38D39C43">
      <w:pPr>
        <w:adjustRightInd w:val="0"/>
        <w:snapToGrid w:val="0"/>
        <w:spacing w:before="90" w:after="60"/>
        <w:ind w:firstLine="480" w:firstLineChars="200"/>
        <w:rPr>
          <w:rFonts w:ascii="仿宋_GB2312" w:hAnsi="宋体" w:eastAsia="仿宋_GB2312"/>
          <w:color w:val="auto"/>
          <w:sz w:val="24"/>
          <w:szCs w:val="24"/>
          <w:highlight w:val="none"/>
        </w:rPr>
      </w:pPr>
      <w:r>
        <w:rPr>
          <w:rFonts w:hint="eastAsia" w:ascii="仿宋_GB2312" w:hAnsi="宋体" w:eastAsia="仿宋_GB2312" w:cs="仿宋_GB2312"/>
          <w:color w:val="auto"/>
          <w:sz w:val="24"/>
          <w:szCs w:val="24"/>
          <w:highlight w:val="none"/>
        </w:rPr>
        <w:t>8、本合同未尽事宜，经甲乙双方协商一致，可另行签订补充协议。</w:t>
      </w:r>
    </w:p>
    <w:p w14:paraId="78CF451D">
      <w:pPr>
        <w:spacing w:before="90" w:after="60"/>
        <w:ind w:firstLine="477" w:firstLineChars="198"/>
        <w:rPr>
          <w:rFonts w:ascii="仿宋_GB2312" w:hAnsi="宋体" w:eastAsia="仿宋_GB2312" w:cs="仿宋_GB2312"/>
          <w:b/>
          <w:bCs/>
          <w:color w:val="auto"/>
          <w:sz w:val="24"/>
          <w:szCs w:val="24"/>
          <w:highlight w:val="none"/>
        </w:rPr>
      </w:pPr>
      <w:r>
        <w:rPr>
          <w:rFonts w:hint="eastAsia" w:ascii="仿宋_GB2312" w:hAnsi="宋体" w:eastAsia="仿宋_GB2312" w:cs="仿宋_GB2312"/>
          <w:b/>
          <w:bCs/>
          <w:color w:val="auto"/>
          <w:sz w:val="24"/>
          <w:szCs w:val="24"/>
          <w:highlight w:val="none"/>
        </w:rPr>
        <w:t>第十六条 合同效力与附件</w:t>
      </w:r>
    </w:p>
    <w:p w14:paraId="179A8842">
      <w:pPr>
        <w:adjustRightInd w:val="0"/>
        <w:snapToGrid w:val="0"/>
        <w:spacing w:before="90" w:after="60"/>
        <w:ind w:firstLine="480" w:firstLineChars="200"/>
        <w:rPr>
          <w:rFonts w:ascii="仿宋_GB2312" w:hAnsi="宋体" w:eastAsia="仿宋_GB2312"/>
          <w:color w:val="auto"/>
          <w:sz w:val="24"/>
          <w:szCs w:val="24"/>
          <w:highlight w:val="none"/>
        </w:rPr>
      </w:pPr>
      <w:r>
        <w:rPr>
          <w:rFonts w:hint="eastAsia" w:ascii="仿宋_GB2312" w:hAnsi="宋体" w:eastAsia="仿宋_GB2312" w:cs="仿宋_GB2312"/>
          <w:color w:val="auto"/>
          <w:sz w:val="24"/>
          <w:szCs w:val="24"/>
          <w:highlight w:val="none"/>
        </w:rPr>
        <w:t>1、本合同自甲乙双方签订后且乙方按合同约定付清首期租金、履约保证金之日起生效，乙方若未付清首期租金、履约保证金，则本合同不生效。</w:t>
      </w:r>
    </w:p>
    <w:p w14:paraId="6077247F">
      <w:pPr>
        <w:adjustRightInd w:val="0"/>
        <w:snapToGrid w:val="0"/>
        <w:spacing w:before="90" w:after="60"/>
        <w:ind w:firstLine="480" w:firstLineChars="200"/>
        <w:rPr>
          <w:rFonts w:ascii="仿宋_GB2312" w:hAnsi="宋体" w:eastAsia="仿宋_GB2312" w:cs="仿宋_GB2312"/>
          <w:color w:val="auto"/>
          <w:sz w:val="24"/>
          <w:szCs w:val="24"/>
          <w:highlight w:val="none"/>
        </w:rPr>
      </w:pPr>
      <w:r>
        <w:rPr>
          <w:rFonts w:hint="eastAsia" w:ascii="仿宋_GB2312" w:hAnsi="宋体" w:eastAsia="仿宋_GB2312" w:cs="仿宋_GB2312"/>
          <w:color w:val="auto"/>
          <w:sz w:val="24"/>
          <w:szCs w:val="24"/>
          <w:highlight w:val="none"/>
        </w:rPr>
        <w:t>2、本合同壹式肆份，甲、乙双方各执贰份，合同附件与本合同均具有同等法律效力。</w:t>
      </w:r>
    </w:p>
    <w:p w14:paraId="721DA7B2">
      <w:pPr>
        <w:adjustRightInd w:val="0"/>
        <w:snapToGrid w:val="0"/>
        <w:spacing w:before="90" w:after="60"/>
        <w:rPr>
          <w:rFonts w:ascii="仿宋_GB2312" w:hAnsi="宋体" w:eastAsia="仿宋_GB2312" w:cs="仿宋_GB2312"/>
          <w:color w:val="auto"/>
          <w:sz w:val="24"/>
          <w:szCs w:val="24"/>
          <w:highlight w:val="none"/>
        </w:rPr>
      </w:pPr>
      <w:r>
        <w:rPr>
          <w:rFonts w:hint="eastAsia" w:ascii="仿宋_GB2312" w:hAnsi="宋体" w:eastAsia="仿宋_GB2312" w:cs="仿宋_GB2312"/>
          <w:color w:val="auto"/>
          <w:sz w:val="24"/>
          <w:szCs w:val="24"/>
          <w:highlight w:val="none"/>
        </w:rPr>
        <w:t>（以下无正文）</w:t>
      </w:r>
    </w:p>
    <w:p w14:paraId="7D188BFA">
      <w:pPr>
        <w:spacing w:line="360" w:lineRule="auto"/>
        <w:rPr>
          <w:rFonts w:ascii="仿宋_GB2312" w:eastAsia="仿宋_GB2312"/>
          <w:color w:val="auto"/>
          <w:sz w:val="24"/>
          <w:szCs w:val="24"/>
          <w:highlight w:val="none"/>
        </w:rPr>
      </w:pPr>
    </w:p>
    <w:p w14:paraId="62FFBCC5">
      <w:pPr>
        <w:spacing w:before="90" w:after="60"/>
        <w:rPr>
          <w:rFonts w:ascii="仿宋_GB2312" w:hAnsi="宋体" w:eastAsia="仿宋_GB2312"/>
          <w:b/>
          <w:color w:val="auto"/>
          <w:sz w:val="24"/>
          <w:szCs w:val="24"/>
          <w:highlight w:val="none"/>
        </w:rPr>
      </w:pPr>
      <w:r>
        <w:rPr>
          <w:rFonts w:hint="eastAsia" w:ascii="仿宋_GB2312" w:hAnsi="宋体" w:eastAsia="仿宋_GB2312" w:cs="仿宋_GB2312"/>
          <w:b/>
          <w:color w:val="auto"/>
          <w:sz w:val="24"/>
          <w:szCs w:val="24"/>
          <w:highlight w:val="none"/>
        </w:rPr>
        <w:t>甲方（盖章）：</w:t>
      </w:r>
      <w:r>
        <w:rPr>
          <w:rFonts w:ascii="仿宋_GB2312" w:hAnsi="宋体" w:eastAsia="仿宋_GB2312" w:cs="仿宋_GB2312"/>
          <w:b/>
          <w:color w:val="auto"/>
          <w:sz w:val="24"/>
          <w:szCs w:val="24"/>
          <w:highlight w:val="none"/>
        </w:rPr>
        <w:t xml:space="preserve">                           </w:t>
      </w:r>
      <w:r>
        <w:rPr>
          <w:rFonts w:hint="eastAsia" w:ascii="仿宋_GB2312" w:hAnsi="宋体" w:eastAsia="仿宋_GB2312" w:cs="仿宋_GB2312"/>
          <w:b/>
          <w:color w:val="auto"/>
          <w:sz w:val="24"/>
          <w:szCs w:val="24"/>
          <w:highlight w:val="none"/>
        </w:rPr>
        <w:t>乙方（盖章）：</w:t>
      </w:r>
    </w:p>
    <w:p w14:paraId="69445D74">
      <w:pPr>
        <w:spacing w:before="90" w:after="60"/>
        <w:rPr>
          <w:rFonts w:ascii="仿宋_GB2312" w:hAnsi="宋体" w:eastAsia="仿宋_GB2312"/>
          <w:b/>
          <w:color w:val="auto"/>
          <w:sz w:val="24"/>
          <w:szCs w:val="24"/>
          <w:highlight w:val="none"/>
        </w:rPr>
      </w:pPr>
      <w:r>
        <w:rPr>
          <w:rFonts w:ascii="仿宋_GB2312" w:hAnsi="宋体" w:eastAsia="仿宋_GB2312" w:cs="仿宋_GB2312"/>
          <w:b/>
          <w:color w:val="auto"/>
          <w:sz w:val="24"/>
          <w:szCs w:val="24"/>
          <w:highlight w:val="none"/>
        </w:rPr>
        <w:t xml:space="preserve">                                        </w:t>
      </w:r>
    </w:p>
    <w:p w14:paraId="3C2861A5">
      <w:pPr>
        <w:spacing w:before="90" w:after="60"/>
        <w:rPr>
          <w:rFonts w:ascii="仿宋_GB2312" w:hAnsi="宋体" w:eastAsia="仿宋_GB2312"/>
          <w:b/>
          <w:color w:val="auto"/>
          <w:sz w:val="24"/>
          <w:szCs w:val="24"/>
          <w:highlight w:val="none"/>
        </w:rPr>
      </w:pPr>
      <w:r>
        <w:rPr>
          <w:rFonts w:hint="eastAsia" w:ascii="仿宋_GB2312" w:hAnsi="宋体" w:eastAsia="仿宋_GB2312" w:cs="仿宋_GB2312"/>
          <w:b/>
          <w:color w:val="auto"/>
          <w:sz w:val="24"/>
          <w:szCs w:val="24"/>
          <w:highlight w:val="none"/>
        </w:rPr>
        <w:t>法定代表人：</w:t>
      </w:r>
      <w:r>
        <w:rPr>
          <w:rFonts w:ascii="仿宋_GB2312" w:hAnsi="宋体" w:eastAsia="仿宋_GB2312" w:cs="仿宋_GB2312"/>
          <w:b/>
          <w:color w:val="auto"/>
          <w:sz w:val="24"/>
          <w:szCs w:val="24"/>
          <w:highlight w:val="none"/>
        </w:rPr>
        <w:t xml:space="preserve">                            </w:t>
      </w:r>
      <w:r>
        <w:rPr>
          <w:rFonts w:hint="eastAsia" w:ascii="仿宋_GB2312" w:hAnsi="宋体" w:eastAsia="仿宋_GB2312" w:cs="仿宋_GB2312"/>
          <w:b/>
          <w:color w:val="auto"/>
          <w:sz w:val="24"/>
          <w:szCs w:val="24"/>
          <w:highlight w:val="none"/>
        </w:rPr>
        <w:t>法定代表人：</w:t>
      </w:r>
    </w:p>
    <w:p w14:paraId="43DB1D7F">
      <w:pPr>
        <w:spacing w:before="90" w:after="60"/>
        <w:rPr>
          <w:rFonts w:ascii="仿宋_GB2312" w:hAnsi="宋体" w:eastAsia="仿宋_GB2312"/>
          <w:b/>
          <w:color w:val="auto"/>
          <w:sz w:val="24"/>
          <w:szCs w:val="24"/>
          <w:highlight w:val="none"/>
        </w:rPr>
      </w:pPr>
      <w:r>
        <w:rPr>
          <w:rFonts w:hint="eastAsia" w:ascii="仿宋_GB2312" w:hAnsi="宋体" w:eastAsia="仿宋_GB2312" w:cs="仿宋_GB2312"/>
          <w:b/>
          <w:color w:val="auto"/>
          <w:sz w:val="24"/>
          <w:szCs w:val="24"/>
          <w:highlight w:val="none"/>
        </w:rPr>
        <w:t>或授权代表：</w:t>
      </w:r>
      <w:r>
        <w:rPr>
          <w:rFonts w:ascii="仿宋_GB2312" w:hAnsi="宋体" w:eastAsia="仿宋_GB2312" w:cs="仿宋_GB2312"/>
          <w:b/>
          <w:color w:val="auto"/>
          <w:sz w:val="24"/>
          <w:szCs w:val="24"/>
          <w:highlight w:val="none"/>
        </w:rPr>
        <w:t xml:space="preserve">                            </w:t>
      </w:r>
      <w:r>
        <w:rPr>
          <w:rFonts w:hint="eastAsia" w:ascii="仿宋_GB2312" w:hAnsi="宋体" w:eastAsia="仿宋_GB2312" w:cs="仿宋_GB2312"/>
          <w:b/>
          <w:color w:val="auto"/>
          <w:sz w:val="24"/>
          <w:szCs w:val="24"/>
          <w:highlight w:val="none"/>
        </w:rPr>
        <w:t>或授权代表：</w:t>
      </w:r>
    </w:p>
    <w:p w14:paraId="3C1D26B6">
      <w:pPr>
        <w:spacing w:before="90" w:after="60"/>
        <w:rPr>
          <w:rFonts w:ascii="仿宋_GB2312" w:hAnsi="宋体" w:eastAsia="仿宋_GB2312"/>
          <w:b/>
          <w:color w:val="auto"/>
          <w:sz w:val="24"/>
          <w:szCs w:val="24"/>
          <w:highlight w:val="none"/>
        </w:rPr>
      </w:pPr>
      <w:r>
        <w:rPr>
          <w:rFonts w:ascii="仿宋_GB2312" w:hAnsi="宋体" w:eastAsia="仿宋_GB2312"/>
          <w:b/>
          <w:color w:val="auto"/>
          <w:sz w:val="24"/>
          <w:szCs w:val="24"/>
          <w:highlight w:val="none"/>
        </w:rPr>
        <w:t xml:space="preserve">                                                    </w:t>
      </w:r>
    </w:p>
    <w:p w14:paraId="5BC196D5">
      <w:pPr>
        <w:spacing w:before="90" w:after="60"/>
        <w:ind w:right="480" w:firstLine="2048" w:firstLineChars="850"/>
        <w:rPr>
          <w:rFonts w:ascii="仿宋_GB2312" w:hAnsi="宋体" w:eastAsia="仿宋_GB2312" w:cs="仿宋_GB2312"/>
          <w:b/>
          <w:color w:val="auto"/>
          <w:sz w:val="24"/>
          <w:szCs w:val="24"/>
          <w:highlight w:val="none"/>
        </w:rPr>
      </w:pPr>
      <w:r>
        <w:rPr>
          <w:rFonts w:hint="eastAsia" w:ascii="仿宋_GB2312" w:hAnsi="宋体" w:eastAsia="仿宋_GB2312" w:cs="仿宋_GB2312"/>
          <w:b/>
          <w:color w:val="auto"/>
          <w:sz w:val="24"/>
          <w:szCs w:val="24"/>
          <w:highlight w:val="none"/>
        </w:rPr>
        <w:t>签订地点：</w:t>
      </w:r>
    </w:p>
    <w:p w14:paraId="297F25EA">
      <w:pPr>
        <w:spacing w:before="90" w:after="60"/>
        <w:ind w:right="480" w:firstLine="2048" w:firstLineChars="850"/>
        <w:rPr>
          <w:rFonts w:ascii="仿宋" w:hAnsi="仿宋" w:eastAsia="仿宋"/>
          <w:bCs/>
          <w:color w:val="auto"/>
          <w:sz w:val="32"/>
          <w:szCs w:val="32"/>
          <w:highlight w:val="none"/>
        </w:rPr>
      </w:pPr>
      <w:r>
        <w:rPr>
          <w:rFonts w:hint="eastAsia" w:ascii="仿宋_GB2312" w:hAnsi="宋体" w:eastAsia="仿宋_GB2312" w:cs="仿宋_GB2312"/>
          <w:b/>
          <w:color w:val="auto"/>
          <w:sz w:val="24"/>
          <w:szCs w:val="24"/>
          <w:highlight w:val="none"/>
        </w:rPr>
        <w:t>签订日期：</w:t>
      </w:r>
      <w:r>
        <w:rPr>
          <w:rFonts w:ascii="仿宋_GB2312" w:hAnsi="宋体" w:eastAsia="仿宋_GB2312" w:cs="仿宋_GB2312"/>
          <w:b/>
          <w:color w:val="auto"/>
          <w:sz w:val="24"/>
          <w:szCs w:val="24"/>
          <w:highlight w:val="none"/>
        </w:rPr>
        <w:t xml:space="preserve">      </w:t>
      </w:r>
      <w:r>
        <w:rPr>
          <w:rFonts w:hint="eastAsia" w:ascii="仿宋_GB2312" w:hAnsi="宋体" w:eastAsia="仿宋_GB2312" w:cs="仿宋_GB2312"/>
          <w:b/>
          <w:color w:val="auto"/>
          <w:sz w:val="24"/>
          <w:szCs w:val="24"/>
          <w:highlight w:val="none"/>
        </w:rPr>
        <w:t>年</w:t>
      </w:r>
      <w:r>
        <w:rPr>
          <w:rFonts w:ascii="仿宋_GB2312" w:hAnsi="宋体" w:eastAsia="仿宋_GB2312" w:cs="仿宋_GB2312"/>
          <w:b/>
          <w:color w:val="auto"/>
          <w:sz w:val="24"/>
          <w:szCs w:val="24"/>
          <w:highlight w:val="none"/>
        </w:rPr>
        <w:t xml:space="preserve">    </w:t>
      </w:r>
      <w:r>
        <w:rPr>
          <w:rFonts w:hint="eastAsia" w:ascii="仿宋_GB2312" w:hAnsi="宋体" w:eastAsia="仿宋_GB2312" w:cs="仿宋_GB2312"/>
          <w:b/>
          <w:color w:val="auto"/>
          <w:sz w:val="24"/>
          <w:szCs w:val="24"/>
          <w:highlight w:val="none"/>
        </w:rPr>
        <w:t>月</w:t>
      </w:r>
      <w:r>
        <w:rPr>
          <w:rFonts w:ascii="仿宋_GB2312" w:hAnsi="宋体" w:eastAsia="仿宋_GB2312" w:cs="仿宋_GB2312"/>
          <w:b/>
          <w:color w:val="auto"/>
          <w:sz w:val="24"/>
          <w:szCs w:val="24"/>
          <w:highlight w:val="none"/>
        </w:rPr>
        <w:t xml:space="preserve">    </w:t>
      </w:r>
      <w:r>
        <w:rPr>
          <w:rFonts w:hint="eastAsia" w:ascii="仿宋_GB2312" w:hAnsi="宋体" w:eastAsia="仿宋_GB2312" w:cs="仿宋_GB2312"/>
          <w:b/>
          <w:color w:val="auto"/>
          <w:sz w:val="24"/>
          <w:szCs w:val="24"/>
          <w:highlight w:val="none"/>
        </w:rPr>
        <w:t>日</w:t>
      </w:r>
    </w:p>
    <w:bookmarkEnd w:id="0"/>
    <w:p w14:paraId="3DEA1DE8">
      <w:pPr>
        <w:spacing w:line="520" w:lineRule="exact"/>
        <w:rPr>
          <w:rFonts w:ascii="黑体" w:hAnsi="黑体" w:eastAsia="黑体"/>
          <w:color w:val="000000" w:themeColor="text1"/>
          <w:sz w:val="32"/>
          <w:szCs w:val="32"/>
        </w:rPr>
      </w:pPr>
    </w:p>
    <w:p w14:paraId="60DAD55F">
      <w:pPr>
        <w:spacing w:line="520" w:lineRule="exact"/>
        <w:rPr>
          <w:rFonts w:ascii="仿宋" w:hAnsi="仿宋" w:eastAsia="仿宋"/>
          <w:color w:val="000000" w:themeColor="text1"/>
          <w:sz w:val="28"/>
          <w:szCs w:val="28"/>
        </w:rPr>
      </w:pPr>
    </w:p>
    <w:p w14:paraId="5D05E94B">
      <w:pPr>
        <w:spacing w:line="520" w:lineRule="exact"/>
        <w:rPr>
          <w:rFonts w:ascii="仿宋" w:hAnsi="仿宋" w:eastAsia="仿宋"/>
          <w:color w:val="000000" w:themeColor="text1"/>
          <w:sz w:val="28"/>
          <w:szCs w:val="28"/>
        </w:rPr>
      </w:pPr>
    </w:p>
    <w:p w14:paraId="50F4CDEF">
      <w:pPr>
        <w:spacing w:line="520" w:lineRule="exact"/>
        <w:rPr>
          <w:rFonts w:ascii="仿宋" w:hAnsi="仿宋" w:eastAsia="仿宋"/>
          <w:color w:val="000000" w:themeColor="text1"/>
          <w:sz w:val="28"/>
          <w:szCs w:val="28"/>
        </w:rPr>
      </w:pPr>
    </w:p>
    <w:p w14:paraId="2F463769">
      <w:pPr>
        <w:spacing w:line="520" w:lineRule="exact"/>
        <w:rPr>
          <w:rFonts w:ascii="仿宋" w:hAnsi="仿宋" w:eastAsia="仿宋"/>
          <w:color w:val="000000" w:themeColor="text1"/>
          <w:sz w:val="28"/>
          <w:szCs w:val="28"/>
        </w:rPr>
      </w:pPr>
    </w:p>
    <w:p w14:paraId="38774AA8">
      <w:pPr>
        <w:spacing w:line="520" w:lineRule="exact"/>
        <w:rPr>
          <w:rFonts w:ascii="仿宋" w:hAnsi="仿宋" w:eastAsia="仿宋"/>
          <w:color w:val="000000" w:themeColor="text1"/>
          <w:sz w:val="28"/>
          <w:szCs w:val="28"/>
        </w:rPr>
      </w:pPr>
    </w:p>
    <w:p w14:paraId="26E5E257">
      <w:pPr>
        <w:spacing w:line="520" w:lineRule="exact"/>
        <w:rPr>
          <w:rFonts w:ascii="仿宋" w:hAnsi="仿宋" w:eastAsia="仿宋"/>
          <w:color w:val="000000" w:themeColor="text1"/>
          <w:sz w:val="28"/>
          <w:szCs w:val="28"/>
        </w:rPr>
      </w:pPr>
    </w:p>
    <w:p w14:paraId="61D32B06">
      <w:pPr>
        <w:spacing w:line="520" w:lineRule="exact"/>
        <w:rPr>
          <w:rFonts w:ascii="仿宋" w:hAnsi="仿宋" w:eastAsia="仿宋"/>
          <w:color w:val="000000" w:themeColor="text1"/>
          <w:sz w:val="28"/>
          <w:szCs w:val="28"/>
        </w:rPr>
      </w:pPr>
    </w:p>
    <w:p w14:paraId="42665CF3">
      <w:pPr>
        <w:spacing w:line="520" w:lineRule="exact"/>
        <w:rPr>
          <w:rFonts w:ascii="仿宋" w:hAnsi="仿宋" w:eastAsia="仿宋"/>
          <w:color w:val="000000" w:themeColor="text1"/>
          <w:sz w:val="28"/>
          <w:szCs w:val="28"/>
        </w:rPr>
      </w:pPr>
    </w:p>
    <w:sectPr>
      <w:footerReference r:id="rId6" w:type="first"/>
      <w:headerReference r:id="rId3" w:type="default"/>
      <w:footerReference r:id="rId4" w:type="default"/>
      <w:footerReference r:id="rId5" w:type="even"/>
      <w:pgSz w:w="11906" w:h="16838"/>
      <w:pgMar w:top="1797" w:right="1440" w:bottom="1440" w:left="1440" w:header="851" w:footer="992" w:gutter="0"/>
      <w:pgNumType w:fmt="numberInDash"/>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003F01FF" w:csb1="00000000"/>
  </w:font>
  <w:font w:name="Cambria">
    <w:panose1 w:val="02040503050406030204"/>
    <w:charset w:val="00"/>
    <w:family w:val="roman"/>
    <w:pitch w:val="default"/>
    <w:sig w:usb0="E00006FF" w:usb1="420024FF" w:usb2="02000000" w:usb3="00000000" w:csb0="2000019F" w:csb1="00000000"/>
  </w:font>
  <w:font w:name="MingLiU">
    <w:altName w:val="PMingLiU-ExtB"/>
    <w:panose1 w:val="02010609000101010101"/>
    <w:charset w:val="88"/>
    <w:family w:val="modern"/>
    <w:pitch w:val="default"/>
    <w:sig w:usb0="00000000" w:usb1="00000000" w:usb2="00000010" w:usb3="00000000" w:csb0="00100000" w:csb1="00000000"/>
  </w:font>
  <w:font w:name="細明體">
    <w:altName w:val="Segoe Print"/>
    <w:panose1 w:val="00000000000000000000"/>
    <w:charset w:val="00"/>
    <w:family w:val="auto"/>
    <w:pitch w:val="default"/>
    <w:sig w:usb0="00000000" w:usb1="00000000" w:usb2="00000000" w:usb3="00000000" w:csb0="00000000" w:csb1="00000000"/>
  </w:font>
  <w:font w:name="Courier New">
    <w:panose1 w:val="02070309020205020404"/>
    <w:charset w:val="00"/>
    <w:family w:val="modern"/>
    <w:pitch w:val="default"/>
    <w:sig w:usb0="E0002EFF" w:usb1="C0007843" w:usb2="00000009" w:usb3="00000000" w:csb0="400001FF" w:csb1="FFFF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10" w:usb3="00000000" w:csb0="0004009F" w:csb1="00000000"/>
  </w:font>
  <w:font w:name="Arial">
    <w:panose1 w:val="020B0604020202020204"/>
    <w:charset w:val="00"/>
    <w:family w:val="swiss"/>
    <w:pitch w:val="default"/>
    <w:sig w:usb0="E0002EFF" w:usb1="C000785B" w:usb2="00000009" w:usb3="00000000" w:csb0="400001FF" w:csb1="FFFF0000"/>
  </w:font>
  <w:font w:name="PMingLiU-ExtB">
    <w:panose1 w:val="02020500000000000000"/>
    <w:charset w:val="88"/>
    <w:family w:val="auto"/>
    <w:pitch w:val="default"/>
    <w:sig w:usb0="8000002F" w:usb1="02000008" w:usb2="00000000" w:usb3="00000000" w:csb0="0010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23456"/>
      <w:docPartObj>
        <w:docPartGallery w:val="AutoText"/>
      </w:docPartObj>
    </w:sdtPr>
    <w:sdtContent>
      <w:p w14:paraId="134DFE68">
        <w:pPr>
          <w:pStyle w:val="10"/>
          <w:ind w:right="360"/>
          <w:jc w:val="right"/>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1 -</w:t>
        </w:r>
        <w:r>
          <w:rPr>
            <w:rFonts w:ascii="宋体" w:hAnsi="宋体"/>
            <w:sz w:val="28"/>
            <w:szCs w:val="28"/>
          </w:rPr>
          <w:fldChar w:fldCharType="end"/>
        </w:r>
      </w:p>
    </w:sdtContent>
  </w:sdt>
  <w:p w14:paraId="6C35E6A1">
    <w:pPr>
      <w:pStyle w:val="10"/>
      <w:ind w:left="7560" w:leftChars="3600" w:right="360"/>
      <w:rPr>
        <w:rFonts w:asciiTheme="minorEastAsia" w:hAnsiTheme="minorEastAsia" w:eastAsiaTheme="minorEastAsia"/>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23454"/>
      <w:docPartObj>
        <w:docPartGallery w:val="AutoText"/>
      </w:docPartObj>
    </w:sdtPr>
    <w:sdtContent>
      <w:sdt>
        <w:sdtPr>
          <w:id w:val="14723455"/>
          <w:docPartObj>
            <w:docPartGallery w:val="AutoText"/>
          </w:docPartObj>
        </w:sdtPr>
        <w:sdtContent>
          <w:p w14:paraId="25511D9A">
            <w:pPr>
              <w:pStyle w:val="10"/>
              <w:ind w:right="1080"/>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2 -</w:t>
            </w:r>
            <w:r>
              <w:rPr>
                <w:rFonts w:ascii="宋体" w:hAnsi="宋体"/>
                <w:sz w:val="28"/>
                <w:szCs w:val="28"/>
              </w:rPr>
              <w:fldChar w:fldCharType="end"/>
            </w:r>
          </w:p>
        </w:sdtContent>
      </w:sdt>
      <w:p w14:paraId="5791309A">
        <w:pPr>
          <w:pStyle w:val="10"/>
          <w:ind w:right="720" w:firstLine="450" w:firstLineChars="250"/>
        </w:pPr>
      </w:p>
    </w:sdtContent>
  </w:sdt>
  <w:p w14:paraId="5DAC2E44">
    <w:pPr>
      <w:pStyle w:val="10"/>
      <w:ind w:right="720" w:firstLine="360" w:firstLineChars="200"/>
    </w:pPr>
  </w:p>
  <w:p w14:paraId="7BE38C1A">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37457E">
    <w:pPr>
      <w:pStyle w:val="10"/>
      <w:jc w:val="center"/>
    </w:pPr>
    <w:r>
      <w:fldChar w:fldCharType="begin"/>
    </w:r>
    <w:r>
      <w:instrText xml:space="preserve"> PAGE   \* MERGEFORMAT </w:instrText>
    </w:r>
    <w:r>
      <w:fldChar w:fldCharType="separate"/>
    </w:r>
    <w:r>
      <w:rPr>
        <w:lang w:val="zh-CN"/>
      </w:rPr>
      <w:t>1</w:t>
    </w:r>
    <w:r>
      <w:rPr>
        <w:lang w:val="zh-CN"/>
      </w:rPr>
      <w:fldChar w:fldCharType="end"/>
    </w:r>
  </w:p>
  <w:p w14:paraId="333634FF">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688A2D">
    <w:pPr>
      <w:pStyle w:val="11"/>
      <w:pBdr>
        <w:top w:val="none" w:color="auto" w:sz="0" w:space="0"/>
        <w:left w:val="none" w:color="auto" w:sz="0" w:space="0"/>
        <w:bottom w:val="none" w:color="auto" w:sz="0" w:space="0"/>
        <w:right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01665"/>
    <w:rsid w:val="00003780"/>
    <w:rsid w:val="000062B6"/>
    <w:rsid w:val="0000668C"/>
    <w:rsid w:val="00006694"/>
    <w:rsid w:val="000072FF"/>
    <w:rsid w:val="0001163F"/>
    <w:rsid w:val="00015EC2"/>
    <w:rsid w:val="0002314C"/>
    <w:rsid w:val="00023A20"/>
    <w:rsid w:val="000245E5"/>
    <w:rsid w:val="0002471F"/>
    <w:rsid w:val="00031FA8"/>
    <w:rsid w:val="00032529"/>
    <w:rsid w:val="00033866"/>
    <w:rsid w:val="000339F7"/>
    <w:rsid w:val="00033D84"/>
    <w:rsid w:val="0003554F"/>
    <w:rsid w:val="00040148"/>
    <w:rsid w:val="00046062"/>
    <w:rsid w:val="00047306"/>
    <w:rsid w:val="0005377C"/>
    <w:rsid w:val="000570F0"/>
    <w:rsid w:val="00057F8E"/>
    <w:rsid w:val="0006073C"/>
    <w:rsid w:val="00060A2B"/>
    <w:rsid w:val="000640D8"/>
    <w:rsid w:val="00065006"/>
    <w:rsid w:val="000660FD"/>
    <w:rsid w:val="000714F1"/>
    <w:rsid w:val="00073A76"/>
    <w:rsid w:val="000741BE"/>
    <w:rsid w:val="000752FB"/>
    <w:rsid w:val="00080493"/>
    <w:rsid w:val="00083E21"/>
    <w:rsid w:val="000905AF"/>
    <w:rsid w:val="0009081C"/>
    <w:rsid w:val="000915C0"/>
    <w:rsid w:val="0009653F"/>
    <w:rsid w:val="000975EA"/>
    <w:rsid w:val="00097776"/>
    <w:rsid w:val="000A0D8F"/>
    <w:rsid w:val="000A1BB2"/>
    <w:rsid w:val="000A3615"/>
    <w:rsid w:val="000A3F2A"/>
    <w:rsid w:val="000A5DC6"/>
    <w:rsid w:val="000A70CA"/>
    <w:rsid w:val="000B3BDB"/>
    <w:rsid w:val="000B4565"/>
    <w:rsid w:val="000B4D53"/>
    <w:rsid w:val="000B58F7"/>
    <w:rsid w:val="000C5685"/>
    <w:rsid w:val="000D18BD"/>
    <w:rsid w:val="000D6728"/>
    <w:rsid w:val="000E1619"/>
    <w:rsid w:val="000E1B3A"/>
    <w:rsid w:val="000E1FD3"/>
    <w:rsid w:val="000E3477"/>
    <w:rsid w:val="000E425F"/>
    <w:rsid w:val="000E530F"/>
    <w:rsid w:val="000E6731"/>
    <w:rsid w:val="000E762B"/>
    <w:rsid w:val="000F0738"/>
    <w:rsid w:val="000F3130"/>
    <w:rsid w:val="000F410A"/>
    <w:rsid w:val="000F49F8"/>
    <w:rsid w:val="0010266D"/>
    <w:rsid w:val="00104A79"/>
    <w:rsid w:val="00106BAE"/>
    <w:rsid w:val="00107D7E"/>
    <w:rsid w:val="00107E2F"/>
    <w:rsid w:val="00107E67"/>
    <w:rsid w:val="001110B5"/>
    <w:rsid w:val="00115C4E"/>
    <w:rsid w:val="001221E1"/>
    <w:rsid w:val="0013175B"/>
    <w:rsid w:val="0013337B"/>
    <w:rsid w:val="00134345"/>
    <w:rsid w:val="00135D0A"/>
    <w:rsid w:val="0013726E"/>
    <w:rsid w:val="0013740F"/>
    <w:rsid w:val="00151F2A"/>
    <w:rsid w:val="00153BDB"/>
    <w:rsid w:val="00153F63"/>
    <w:rsid w:val="00156281"/>
    <w:rsid w:val="00156CD0"/>
    <w:rsid w:val="00157B1E"/>
    <w:rsid w:val="001631A2"/>
    <w:rsid w:val="00164C75"/>
    <w:rsid w:val="001653BF"/>
    <w:rsid w:val="001708A1"/>
    <w:rsid w:val="00170C56"/>
    <w:rsid w:val="00172A27"/>
    <w:rsid w:val="00177C24"/>
    <w:rsid w:val="001801F8"/>
    <w:rsid w:val="00180540"/>
    <w:rsid w:val="00180A05"/>
    <w:rsid w:val="0018234B"/>
    <w:rsid w:val="001835A6"/>
    <w:rsid w:val="00186328"/>
    <w:rsid w:val="001964F0"/>
    <w:rsid w:val="001A2376"/>
    <w:rsid w:val="001A2F5B"/>
    <w:rsid w:val="001A37CB"/>
    <w:rsid w:val="001A4AB4"/>
    <w:rsid w:val="001A5650"/>
    <w:rsid w:val="001A69D6"/>
    <w:rsid w:val="001B139F"/>
    <w:rsid w:val="001B1506"/>
    <w:rsid w:val="001B34BF"/>
    <w:rsid w:val="001B36D9"/>
    <w:rsid w:val="001C2C63"/>
    <w:rsid w:val="001C3653"/>
    <w:rsid w:val="001C5CFB"/>
    <w:rsid w:val="001D4965"/>
    <w:rsid w:val="001D6170"/>
    <w:rsid w:val="001D75F9"/>
    <w:rsid w:val="001E3A23"/>
    <w:rsid w:val="001E73CF"/>
    <w:rsid w:val="001F0EA6"/>
    <w:rsid w:val="001F210D"/>
    <w:rsid w:val="001F31C6"/>
    <w:rsid w:val="001F37A5"/>
    <w:rsid w:val="001F700B"/>
    <w:rsid w:val="002028F7"/>
    <w:rsid w:val="00202CCF"/>
    <w:rsid w:val="002102F3"/>
    <w:rsid w:val="0021097A"/>
    <w:rsid w:val="00210DAF"/>
    <w:rsid w:val="002125D5"/>
    <w:rsid w:val="002134C3"/>
    <w:rsid w:val="00213E38"/>
    <w:rsid w:val="00215FE8"/>
    <w:rsid w:val="00220B08"/>
    <w:rsid w:val="00222048"/>
    <w:rsid w:val="00223ACA"/>
    <w:rsid w:val="00225B91"/>
    <w:rsid w:val="002269D7"/>
    <w:rsid w:val="00226CCD"/>
    <w:rsid w:val="00230ED5"/>
    <w:rsid w:val="00232824"/>
    <w:rsid w:val="00233FDC"/>
    <w:rsid w:val="00234396"/>
    <w:rsid w:val="00236CC5"/>
    <w:rsid w:val="0024059E"/>
    <w:rsid w:val="0024323C"/>
    <w:rsid w:val="0024344E"/>
    <w:rsid w:val="00243AA5"/>
    <w:rsid w:val="00243D4B"/>
    <w:rsid w:val="002446A6"/>
    <w:rsid w:val="00246E0C"/>
    <w:rsid w:val="00247698"/>
    <w:rsid w:val="002500F6"/>
    <w:rsid w:val="002533F4"/>
    <w:rsid w:val="002549CD"/>
    <w:rsid w:val="002554E5"/>
    <w:rsid w:val="0025755C"/>
    <w:rsid w:val="00260BCE"/>
    <w:rsid w:val="0026451F"/>
    <w:rsid w:val="00267DCD"/>
    <w:rsid w:val="00271AD9"/>
    <w:rsid w:val="0027376C"/>
    <w:rsid w:val="00274E42"/>
    <w:rsid w:val="00276A85"/>
    <w:rsid w:val="00276B29"/>
    <w:rsid w:val="00277878"/>
    <w:rsid w:val="00281884"/>
    <w:rsid w:val="00282307"/>
    <w:rsid w:val="002831C7"/>
    <w:rsid w:val="00283BE5"/>
    <w:rsid w:val="002841BE"/>
    <w:rsid w:val="00287997"/>
    <w:rsid w:val="002958DC"/>
    <w:rsid w:val="002A1066"/>
    <w:rsid w:val="002A18CE"/>
    <w:rsid w:val="002A2940"/>
    <w:rsid w:val="002A4F01"/>
    <w:rsid w:val="002A5D86"/>
    <w:rsid w:val="002A7C67"/>
    <w:rsid w:val="002B0D73"/>
    <w:rsid w:val="002B22A2"/>
    <w:rsid w:val="002B24BA"/>
    <w:rsid w:val="002C0413"/>
    <w:rsid w:val="002C0EE5"/>
    <w:rsid w:val="002C12A3"/>
    <w:rsid w:val="002C18B5"/>
    <w:rsid w:val="002C19C7"/>
    <w:rsid w:val="002C4873"/>
    <w:rsid w:val="002C5C00"/>
    <w:rsid w:val="002C68B9"/>
    <w:rsid w:val="002C76A8"/>
    <w:rsid w:val="002D37D4"/>
    <w:rsid w:val="002D46E6"/>
    <w:rsid w:val="002D5A8F"/>
    <w:rsid w:val="002D7935"/>
    <w:rsid w:val="002E2312"/>
    <w:rsid w:val="002E3930"/>
    <w:rsid w:val="002E5F1C"/>
    <w:rsid w:val="002E6009"/>
    <w:rsid w:val="002E6647"/>
    <w:rsid w:val="002F7455"/>
    <w:rsid w:val="00303160"/>
    <w:rsid w:val="00305726"/>
    <w:rsid w:val="00314447"/>
    <w:rsid w:val="0031510C"/>
    <w:rsid w:val="0032160D"/>
    <w:rsid w:val="00322901"/>
    <w:rsid w:val="00323812"/>
    <w:rsid w:val="00323B07"/>
    <w:rsid w:val="00325612"/>
    <w:rsid w:val="00326707"/>
    <w:rsid w:val="00330859"/>
    <w:rsid w:val="0033126D"/>
    <w:rsid w:val="003371A7"/>
    <w:rsid w:val="0034143A"/>
    <w:rsid w:val="00343DC4"/>
    <w:rsid w:val="00344C50"/>
    <w:rsid w:val="00344ED0"/>
    <w:rsid w:val="003451E1"/>
    <w:rsid w:val="0034775B"/>
    <w:rsid w:val="00347801"/>
    <w:rsid w:val="00350213"/>
    <w:rsid w:val="0035380B"/>
    <w:rsid w:val="00355B67"/>
    <w:rsid w:val="0036009B"/>
    <w:rsid w:val="00362F74"/>
    <w:rsid w:val="0036486F"/>
    <w:rsid w:val="00364AE0"/>
    <w:rsid w:val="00364B17"/>
    <w:rsid w:val="00365814"/>
    <w:rsid w:val="003669D6"/>
    <w:rsid w:val="00367F58"/>
    <w:rsid w:val="00370088"/>
    <w:rsid w:val="00370FCE"/>
    <w:rsid w:val="00372332"/>
    <w:rsid w:val="00375E66"/>
    <w:rsid w:val="00377065"/>
    <w:rsid w:val="00381739"/>
    <w:rsid w:val="003822FA"/>
    <w:rsid w:val="003843F8"/>
    <w:rsid w:val="003857CE"/>
    <w:rsid w:val="0039040B"/>
    <w:rsid w:val="00392F02"/>
    <w:rsid w:val="003944DE"/>
    <w:rsid w:val="00395C26"/>
    <w:rsid w:val="00396521"/>
    <w:rsid w:val="00396843"/>
    <w:rsid w:val="00397A1E"/>
    <w:rsid w:val="003A0C15"/>
    <w:rsid w:val="003A1CF1"/>
    <w:rsid w:val="003A234C"/>
    <w:rsid w:val="003A2A8A"/>
    <w:rsid w:val="003A3304"/>
    <w:rsid w:val="003A653C"/>
    <w:rsid w:val="003B00FC"/>
    <w:rsid w:val="003B08A5"/>
    <w:rsid w:val="003B1907"/>
    <w:rsid w:val="003B25CC"/>
    <w:rsid w:val="003B3302"/>
    <w:rsid w:val="003B3E40"/>
    <w:rsid w:val="003B570E"/>
    <w:rsid w:val="003B7385"/>
    <w:rsid w:val="003C077B"/>
    <w:rsid w:val="003C0C35"/>
    <w:rsid w:val="003C1B4D"/>
    <w:rsid w:val="003C21B7"/>
    <w:rsid w:val="003C23B2"/>
    <w:rsid w:val="003C6510"/>
    <w:rsid w:val="003D0FB1"/>
    <w:rsid w:val="003D29FC"/>
    <w:rsid w:val="003D625B"/>
    <w:rsid w:val="003D7C45"/>
    <w:rsid w:val="003E1011"/>
    <w:rsid w:val="003E27AE"/>
    <w:rsid w:val="003E426C"/>
    <w:rsid w:val="003E6FF5"/>
    <w:rsid w:val="003E7DC8"/>
    <w:rsid w:val="003F3D7A"/>
    <w:rsid w:val="003F5278"/>
    <w:rsid w:val="003F7356"/>
    <w:rsid w:val="003F7AB1"/>
    <w:rsid w:val="00404038"/>
    <w:rsid w:val="004065BF"/>
    <w:rsid w:val="00406B5D"/>
    <w:rsid w:val="0041144D"/>
    <w:rsid w:val="0041163A"/>
    <w:rsid w:val="00416CDD"/>
    <w:rsid w:val="00420DB0"/>
    <w:rsid w:val="004228DD"/>
    <w:rsid w:val="0042411F"/>
    <w:rsid w:val="00424653"/>
    <w:rsid w:val="00424C5B"/>
    <w:rsid w:val="00426B75"/>
    <w:rsid w:val="00427ED0"/>
    <w:rsid w:val="0043144E"/>
    <w:rsid w:val="00433849"/>
    <w:rsid w:val="00433B08"/>
    <w:rsid w:val="0043724E"/>
    <w:rsid w:val="004425CF"/>
    <w:rsid w:val="00447470"/>
    <w:rsid w:val="00453509"/>
    <w:rsid w:val="00454084"/>
    <w:rsid w:val="00454B47"/>
    <w:rsid w:val="004576A5"/>
    <w:rsid w:val="00465704"/>
    <w:rsid w:val="00466A14"/>
    <w:rsid w:val="004675F0"/>
    <w:rsid w:val="00467695"/>
    <w:rsid w:val="0047148A"/>
    <w:rsid w:val="00471735"/>
    <w:rsid w:val="0047362A"/>
    <w:rsid w:val="00475B05"/>
    <w:rsid w:val="004765DD"/>
    <w:rsid w:val="00482427"/>
    <w:rsid w:val="004827C9"/>
    <w:rsid w:val="00485078"/>
    <w:rsid w:val="004867A3"/>
    <w:rsid w:val="00486A4F"/>
    <w:rsid w:val="00495398"/>
    <w:rsid w:val="004979B4"/>
    <w:rsid w:val="004A138A"/>
    <w:rsid w:val="004A295D"/>
    <w:rsid w:val="004A299A"/>
    <w:rsid w:val="004A597E"/>
    <w:rsid w:val="004A631A"/>
    <w:rsid w:val="004A65A9"/>
    <w:rsid w:val="004A6BE9"/>
    <w:rsid w:val="004B0D66"/>
    <w:rsid w:val="004B226D"/>
    <w:rsid w:val="004B2EA5"/>
    <w:rsid w:val="004B346A"/>
    <w:rsid w:val="004B5850"/>
    <w:rsid w:val="004B5A2C"/>
    <w:rsid w:val="004B7D51"/>
    <w:rsid w:val="004C04A8"/>
    <w:rsid w:val="004C09A7"/>
    <w:rsid w:val="004C605B"/>
    <w:rsid w:val="004C72A3"/>
    <w:rsid w:val="004D21A4"/>
    <w:rsid w:val="004D25A2"/>
    <w:rsid w:val="004D3A75"/>
    <w:rsid w:val="004D3C4A"/>
    <w:rsid w:val="004D4A45"/>
    <w:rsid w:val="004D68AE"/>
    <w:rsid w:val="004D7CDD"/>
    <w:rsid w:val="004D7DA1"/>
    <w:rsid w:val="004E01D5"/>
    <w:rsid w:val="004E28B7"/>
    <w:rsid w:val="004E42CB"/>
    <w:rsid w:val="004F0139"/>
    <w:rsid w:val="004F0E64"/>
    <w:rsid w:val="004F63F9"/>
    <w:rsid w:val="004F676B"/>
    <w:rsid w:val="0050003E"/>
    <w:rsid w:val="00502581"/>
    <w:rsid w:val="00502AD2"/>
    <w:rsid w:val="00503938"/>
    <w:rsid w:val="00504200"/>
    <w:rsid w:val="00505198"/>
    <w:rsid w:val="00506E3B"/>
    <w:rsid w:val="00507809"/>
    <w:rsid w:val="005103BA"/>
    <w:rsid w:val="00510C85"/>
    <w:rsid w:val="00512137"/>
    <w:rsid w:val="00516FDF"/>
    <w:rsid w:val="0051770A"/>
    <w:rsid w:val="00521FF3"/>
    <w:rsid w:val="00522193"/>
    <w:rsid w:val="00523994"/>
    <w:rsid w:val="00530686"/>
    <w:rsid w:val="00530D86"/>
    <w:rsid w:val="00533444"/>
    <w:rsid w:val="0053425D"/>
    <w:rsid w:val="00541F24"/>
    <w:rsid w:val="005424FC"/>
    <w:rsid w:val="00554B1A"/>
    <w:rsid w:val="00557CDB"/>
    <w:rsid w:val="00557D27"/>
    <w:rsid w:val="005612E8"/>
    <w:rsid w:val="00563646"/>
    <w:rsid w:val="00565A6D"/>
    <w:rsid w:val="0056634D"/>
    <w:rsid w:val="005669F6"/>
    <w:rsid w:val="00567974"/>
    <w:rsid w:val="00572333"/>
    <w:rsid w:val="00577FA8"/>
    <w:rsid w:val="00580A9C"/>
    <w:rsid w:val="00581BF9"/>
    <w:rsid w:val="00583906"/>
    <w:rsid w:val="00584B9D"/>
    <w:rsid w:val="00590297"/>
    <w:rsid w:val="00590ABC"/>
    <w:rsid w:val="00591EBD"/>
    <w:rsid w:val="0059682E"/>
    <w:rsid w:val="005A0303"/>
    <w:rsid w:val="005A0BBB"/>
    <w:rsid w:val="005A3521"/>
    <w:rsid w:val="005A3CFF"/>
    <w:rsid w:val="005A5958"/>
    <w:rsid w:val="005A74A5"/>
    <w:rsid w:val="005B01B5"/>
    <w:rsid w:val="005B0C55"/>
    <w:rsid w:val="005B1233"/>
    <w:rsid w:val="005B3126"/>
    <w:rsid w:val="005B52C5"/>
    <w:rsid w:val="005B737C"/>
    <w:rsid w:val="005C1547"/>
    <w:rsid w:val="005C2E0E"/>
    <w:rsid w:val="005C62D7"/>
    <w:rsid w:val="005C6A9F"/>
    <w:rsid w:val="005C720A"/>
    <w:rsid w:val="005D00E2"/>
    <w:rsid w:val="005D06BC"/>
    <w:rsid w:val="005D1C30"/>
    <w:rsid w:val="005D2F67"/>
    <w:rsid w:val="005D485B"/>
    <w:rsid w:val="005D6C34"/>
    <w:rsid w:val="005E04D0"/>
    <w:rsid w:val="005E1075"/>
    <w:rsid w:val="005E53A3"/>
    <w:rsid w:val="005E56C0"/>
    <w:rsid w:val="005F0EFD"/>
    <w:rsid w:val="005F123C"/>
    <w:rsid w:val="005F37B6"/>
    <w:rsid w:val="0060001B"/>
    <w:rsid w:val="00601D3A"/>
    <w:rsid w:val="00601FDC"/>
    <w:rsid w:val="0060245C"/>
    <w:rsid w:val="00602A03"/>
    <w:rsid w:val="0060343B"/>
    <w:rsid w:val="00604932"/>
    <w:rsid w:val="006072FE"/>
    <w:rsid w:val="00607880"/>
    <w:rsid w:val="00607B5E"/>
    <w:rsid w:val="00610E21"/>
    <w:rsid w:val="00612565"/>
    <w:rsid w:val="00616D41"/>
    <w:rsid w:val="0062228F"/>
    <w:rsid w:val="0062372F"/>
    <w:rsid w:val="006251CA"/>
    <w:rsid w:val="006263AA"/>
    <w:rsid w:val="006263E0"/>
    <w:rsid w:val="0063141D"/>
    <w:rsid w:val="0063366B"/>
    <w:rsid w:val="00640EBB"/>
    <w:rsid w:val="0064257A"/>
    <w:rsid w:val="00644B71"/>
    <w:rsid w:val="00645072"/>
    <w:rsid w:val="00645B94"/>
    <w:rsid w:val="00646450"/>
    <w:rsid w:val="006477C2"/>
    <w:rsid w:val="0064791E"/>
    <w:rsid w:val="00651FC8"/>
    <w:rsid w:val="006533A0"/>
    <w:rsid w:val="00655888"/>
    <w:rsid w:val="00655CD0"/>
    <w:rsid w:val="00656345"/>
    <w:rsid w:val="00657558"/>
    <w:rsid w:val="00661716"/>
    <w:rsid w:val="0066454F"/>
    <w:rsid w:val="006654A2"/>
    <w:rsid w:val="00680506"/>
    <w:rsid w:val="00681A2E"/>
    <w:rsid w:val="00685077"/>
    <w:rsid w:val="006878FC"/>
    <w:rsid w:val="006978B9"/>
    <w:rsid w:val="006A11A3"/>
    <w:rsid w:val="006A14BC"/>
    <w:rsid w:val="006A26BD"/>
    <w:rsid w:val="006A2B4D"/>
    <w:rsid w:val="006A2CB7"/>
    <w:rsid w:val="006A3CED"/>
    <w:rsid w:val="006A5895"/>
    <w:rsid w:val="006B0823"/>
    <w:rsid w:val="006B3309"/>
    <w:rsid w:val="006B353B"/>
    <w:rsid w:val="006B3973"/>
    <w:rsid w:val="006B5679"/>
    <w:rsid w:val="006C2203"/>
    <w:rsid w:val="006C2A40"/>
    <w:rsid w:val="006C2CF9"/>
    <w:rsid w:val="006C39B4"/>
    <w:rsid w:val="006C446F"/>
    <w:rsid w:val="006C4FE9"/>
    <w:rsid w:val="006C573D"/>
    <w:rsid w:val="006D4218"/>
    <w:rsid w:val="006D6B17"/>
    <w:rsid w:val="006E32CA"/>
    <w:rsid w:val="006E39A4"/>
    <w:rsid w:val="006E4177"/>
    <w:rsid w:val="006E563E"/>
    <w:rsid w:val="006F353D"/>
    <w:rsid w:val="00700413"/>
    <w:rsid w:val="0070195E"/>
    <w:rsid w:val="00701B89"/>
    <w:rsid w:val="00701EE3"/>
    <w:rsid w:val="007023CA"/>
    <w:rsid w:val="00703647"/>
    <w:rsid w:val="00704F94"/>
    <w:rsid w:val="00705F1E"/>
    <w:rsid w:val="007131E9"/>
    <w:rsid w:val="007150E0"/>
    <w:rsid w:val="00716151"/>
    <w:rsid w:val="007164FE"/>
    <w:rsid w:val="00717236"/>
    <w:rsid w:val="0072040C"/>
    <w:rsid w:val="007205A7"/>
    <w:rsid w:val="00724C2D"/>
    <w:rsid w:val="0073032C"/>
    <w:rsid w:val="007322F2"/>
    <w:rsid w:val="00734064"/>
    <w:rsid w:val="0073433A"/>
    <w:rsid w:val="0074095A"/>
    <w:rsid w:val="007416C1"/>
    <w:rsid w:val="007445CE"/>
    <w:rsid w:val="00744FF6"/>
    <w:rsid w:val="007535C6"/>
    <w:rsid w:val="00754BD0"/>
    <w:rsid w:val="007560DD"/>
    <w:rsid w:val="00757165"/>
    <w:rsid w:val="00760827"/>
    <w:rsid w:val="00760D00"/>
    <w:rsid w:val="00761D7A"/>
    <w:rsid w:val="00764FB6"/>
    <w:rsid w:val="0076529C"/>
    <w:rsid w:val="007672D2"/>
    <w:rsid w:val="0077175E"/>
    <w:rsid w:val="00776F53"/>
    <w:rsid w:val="00780FC2"/>
    <w:rsid w:val="007872DD"/>
    <w:rsid w:val="00790543"/>
    <w:rsid w:val="00793706"/>
    <w:rsid w:val="0079474F"/>
    <w:rsid w:val="007A39DF"/>
    <w:rsid w:val="007B2156"/>
    <w:rsid w:val="007B3817"/>
    <w:rsid w:val="007B4800"/>
    <w:rsid w:val="007B617D"/>
    <w:rsid w:val="007C5625"/>
    <w:rsid w:val="007C5E89"/>
    <w:rsid w:val="007D0523"/>
    <w:rsid w:val="007D0BAC"/>
    <w:rsid w:val="007D1558"/>
    <w:rsid w:val="007D19D4"/>
    <w:rsid w:val="007D2C8E"/>
    <w:rsid w:val="007D2D0F"/>
    <w:rsid w:val="007D6704"/>
    <w:rsid w:val="007E09DC"/>
    <w:rsid w:val="007E50C6"/>
    <w:rsid w:val="007E6507"/>
    <w:rsid w:val="007E6601"/>
    <w:rsid w:val="007E79E0"/>
    <w:rsid w:val="007F1F09"/>
    <w:rsid w:val="007F4113"/>
    <w:rsid w:val="007F4959"/>
    <w:rsid w:val="007F7AA4"/>
    <w:rsid w:val="00804B80"/>
    <w:rsid w:val="008050D0"/>
    <w:rsid w:val="0080746E"/>
    <w:rsid w:val="008110EF"/>
    <w:rsid w:val="00811D30"/>
    <w:rsid w:val="00812294"/>
    <w:rsid w:val="0081283E"/>
    <w:rsid w:val="00813D68"/>
    <w:rsid w:val="00814288"/>
    <w:rsid w:val="00814E08"/>
    <w:rsid w:val="00816D6F"/>
    <w:rsid w:val="0082308F"/>
    <w:rsid w:val="00824F3A"/>
    <w:rsid w:val="0082634E"/>
    <w:rsid w:val="00830A13"/>
    <w:rsid w:val="00832B68"/>
    <w:rsid w:val="008356D6"/>
    <w:rsid w:val="008359BB"/>
    <w:rsid w:val="00836078"/>
    <w:rsid w:val="00840C7F"/>
    <w:rsid w:val="008464C9"/>
    <w:rsid w:val="00846CEF"/>
    <w:rsid w:val="00847480"/>
    <w:rsid w:val="0085227E"/>
    <w:rsid w:val="00853EDD"/>
    <w:rsid w:val="00854669"/>
    <w:rsid w:val="00854E70"/>
    <w:rsid w:val="0086050F"/>
    <w:rsid w:val="008605E6"/>
    <w:rsid w:val="0086118A"/>
    <w:rsid w:val="00861D32"/>
    <w:rsid w:val="00865213"/>
    <w:rsid w:val="00866D71"/>
    <w:rsid w:val="008701C6"/>
    <w:rsid w:val="008741D1"/>
    <w:rsid w:val="00874356"/>
    <w:rsid w:val="00881CE4"/>
    <w:rsid w:val="008858E1"/>
    <w:rsid w:val="0088616F"/>
    <w:rsid w:val="008878E1"/>
    <w:rsid w:val="00890079"/>
    <w:rsid w:val="0089635F"/>
    <w:rsid w:val="008A4801"/>
    <w:rsid w:val="008A7B4A"/>
    <w:rsid w:val="008B1C29"/>
    <w:rsid w:val="008B1E25"/>
    <w:rsid w:val="008B3C61"/>
    <w:rsid w:val="008B5356"/>
    <w:rsid w:val="008B5FA1"/>
    <w:rsid w:val="008C0532"/>
    <w:rsid w:val="008C23FA"/>
    <w:rsid w:val="008C37A7"/>
    <w:rsid w:val="008C3C3E"/>
    <w:rsid w:val="008C5543"/>
    <w:rsid w:val="008D017B"/>
    <w:rsid w:val="008D1547"/>
    <w:rsid w:val="008D322D"/>
    <w:rsid w:val="008D3E0C"/>
    <w:rsid w:val="008D4ACC"/>
    <w:rsid w:val="008D5EC4"/>
    <w:rsid w:val="008D7CE5"/>
    <w:rsid w:val="008E0B2A"/>
    <w:rsid w:val="008E1C12"/>
    <w:rsid w:val="008E39B0"/>
    <w:rsid w:val="008F2D0F"/>
    <w:rsid w:val="008F3701"/>
    <w:rsid w:val="008F53A9"/>
    <w:rsid w:val="008F5B0A"/>
    <w:rsid w:val="008F6194"/>
    <w:rsid w:val="008F7C7F"/>
    <w:rsid w:val="009020F1"/>
    <w:rsid w:val="0090686E"/>
    <w:rsid w:val="00911A89"/>
    <w:rsid w:val="00911F6F"/>
    <w:rsid w:val="00913D30"/>
    <w:rsid w:val="00914335"/>
    <w:rsid w:val="00914DB7"/>
    <w:rsid w:val="009177E0"/>
    <w:rsid w:val="0092160C"/>
    <w:rsid w:val="00921CB0"/>
    <w:rsid w:val="009250D5"/>
    <w:rsid w:val="00930113"/>
    <w:rsid w:val="00931B54"/>
    <w:rsid w:val="00933220"/>
    <w:rsid w:val="00933D82"/>
    <w:rsid w:val="00933DCE"/>
    <w:rsid w:val="00936033"/>
    <w:rsid w:val="009446C5"/>
    <w:rsid w:val="00944EA3"/>
    <w:rsid w:val="0095085A"/>
    <w:rsid w:val="009510C9"/>
    <w:rsid w:val="00952539"/>
    <w:rsid w:val="00956341"/>
    <w:rsid w:val="00963D27"/>
    <w:rsid w:val="00967CFA"/>
    <w:rsid w:val="00974661"/>
    <w:rsid w:val="009752E2"/>
    <w:rsid w:val="00976B7A"/>
    <w:rsid w:val="00976F15"/>
    <w:rsid w:val="00976F30"/>
    <w:rsid w:val="009840A7"/>
    <w:rsid w:val="009844F0"/>
    <w:rsid w:val="00984890"/>
    <w:rsid w:val="00984F4E"/>
    <w:rsid w:val="009851F9"/>
    <w:rsid w:val="00986C52"/>
    <w:rsid w:val="009925FF"/>
    <w:rsid w:val="0099469C"/>
    <w:rsid w:val="009A5947"/>
    <w:rsid w:val="009A62AE"/>
    <w:rsid w:val="009B556B"/>
    <w:rsid w:val="009B76AE"/>
    <w:rsid w:val="009C04C2"/>
    <w:rsid w:val="009C4F03"/>
    <w:rsid w:val="009D3ED3"/>
    <w:rsid w:val="009D571D"/>
    <w:rsid w:val="009D692D"/>
    <w:rsid w:val="009E1E31"/>
    <w:rsid w:val="009E4349"/>
    <w:rsid w:val="009E4DC3"/>
    <w:rsid w:val="009E52C3"/>
    <w:rsid w:val="009E6160"/>
    <w:rsid w:val="009E6817"/>
    <w:rsid w:val="009E7AFF"/>
    <w:rsid w:val="009F216A"/>
    <w:rsid w:val="009F25DA"/>
    <w:rsid w:val="009F3BD7"/>
    <w:rsid w:val="009F3C98"/>
    <w:rsid w:val="009F4A45"/>
    <w:rsid w:val="009F5D1A"/>
    <w:rsid w:val="009F6953"/>
    <w:rsid w:val="00A00EF7"/>
    <w:rsid w:val="00A03441"/>
    <w:rsid w:val="00A12111"/>
    <w:rsid w:val="00A21A16"/>
    <w:rsid w:val="00A249FE"/>
    <w:rsid w:val="00A27902"/>
    <w:rsid w:val="00A34305"/>
    <w:rsid w:val="00A349B4"/>
    <w:rsid w:val="00A402AC"/>
    <w:rsid w:val="00A40D99"/>
    <w:rsid w:val="00A4260B"/>
    <w:rsid w:val="00A43020"/>
    <w:rsid w:val="00A468A2"/>
    <w:rsid w:val="00A47224"/>
    <w:rsid w:val="00A50697"/>
    <w:rsid w:val="00A51E90"/>
    <w:rsid w:val="00A52284"/>
    <w:rsid w:val="00A55D35"/>
    <w:rsid w:val="00A606DF"/>
    <w:rsid w:val="00A60B42"/>
    <w:rsid w:val="00A622CB"/>
    <w:rsid w:val="00A731E9"/>
    <w:rsid w:val="00A7433E"/>
    <w:rsid w:val="00A743E1"/>
    <w:rsid w:val="00A75329"/>
    <w:rsid w:val="00A775CB"/>
    <w:rsid w:val="00A778B0"/>
    <w:rsid w:val="00A90043"/>
    <w:rsid w:val="00A908DA"/>
    <w:rsid w:val="00A970AB"/>
    <w:rsid w:val="00AA15AA"/>
    <w:rsid w:val="00AA49E3"/>
    <w:rsid w:val="00AA743C"/>
    <w:rsid w:val="00AA778B"/>
    <w:rsid w:val="00AB2C23"/>
    <w:rsid w:val="00AB4308"/>
    <w:rsid w:val="00AB617F"/>
    <w:rsid w:val="00AB75B0"/>
    <w:rsid w:val="00AC30E6"/>
    <w:rsid w:val="00AC477A"/>
    <w:rsid w:val="00AD0A9A"/>
    <w:rsid w:val="00AD60C8"/>
    <w:rsid w:val="00AD716B"/>
    <w:rsid w:val="00AD792E"/>
    <w:rsid w:val="00AE0CBC"/>
    <w:rsid w:val="00AE1FC9"/>
    <w:rsid w:val="00AE5097"/>
    <w:rsid w:val="00AE525A"/>
    <w:rsid w:val="00AE582D"/>
    <w:rsid w:val="00AE707A"/>
    <w:rsid w:val="00AE73FF"/>
    <w:rsid w:val="00AF05C0"/>
    <w:rsid w:val="00AF0AB0"/>
    <w:rsid w:val="00AF1A02"/>
    <w:rsid w:val="00AF3D9B"/>
    <w:rsid w:val="00AF4078"/>
    <w:rsid w:val="00AF4FB5"/>
    <w:rsid w:val="00AF63BE"/>
    <w:rsid w:val="00AF768B"/>
    <w:rsid w:val="00AF7697"/>
    <w:rsid w:val="00B009AD"/>
    <w:rsid w:val="00B01D29"/>
    <w:rsid w:val="00B10A5D"/>
    <w:rsid w:val="00B120EE"/>
    <w:rsid w:val="00B14DC1"/>
    <w:rsid w:val="00B17AC0"/>
    <w:rsid w:val="00B269B0"/>
    <w:rsid w:val="00B308D1"/>
    <w:rsid w:val="00B318C3"/>
    <w:rsid w:val="00B31B70"/>
    <w:rsid w:val="00B32038"/>
    <w:rsid w:val="00B35479"/>
    <w:rsid w:val="00B35B9C"/>
    <w:rsid w:val="00B3628B"/>
    <w:rsid w:val="00B42696"/>
    <w:rsid w:val="00B443AA"/>
    <w:rsid w:val="00B44C21"/>
    <w:rsid w:val="00B45D80"/>
    <w:rsid w:val="00B4691E"/>
    <w:rsid w:val="00B46AAB"/>
    <w:rsid w:val="00B52883"/>
    <w:rsid w:val="00B54EA1"/>
    <w:rsid w:val="00B561BB"/>
    <w:rsid w:val="00B6305E"/>
    <w:rsid w:val="00B64CA0"/>
    <w:rsid w:val="00B64FBA"/>
    <w:rsid w:val="00B65192"/>
    <w:rsid w:val="00B70B4E"/>
    <w:rsid w:val="00B718B4"/>
    <w:rsid w:val="00B72F61"/>
    <w:rsid w:val="00B7507E"/>
    <w:rsid w:val="00B751A5"/>
    <w:rsid w:val="00B774AD"/>
    <w:rsid w:val="00B77D5D"/>
    <w:rsid w:val="00B81633"/>
    <w:rsid w:val="00B90ACD"/>
    <w:rsid w:val="00B92160"/>
    <w:rsid w:val="00B9398A"/>
    <w:rsid w:val="00B93CBA"/>
    <w:rsid w:val="00BA1717"/>
    <w:rsid w:val="00BA24E4"/>
    <w:rsid w:val="00BA2922"/>
    <w:rsid w:val="00BA7E32"/>
    <w:rsid w:val="00BB0403"/>
    <w:rsid w:val="00BB12CC"/>
    <w:rsid w:val="00BB406A"/>
    <w:rsid w:val="00BB5CD9"/>
    <w:rsid w:val="00BB6588"/>
    <w:rsid w:val="00BB7E4B"/>
    <w:rsid w:val="00BC0A18"/>
    <w:rsid w:val="00BD10A7"/>
    <w:rsid w:val="00BD2FFC"/>
    <w:rsid w:val="00BD4512"/>
    <w:rsid w:val="00BD6644"/>
    <w:rsid w:val="00BD7426"/>
    <w:rsid w:val="00BE078B"/>
    <w:rsid w:val="00BE39B6"/>
    <w:rsid w:val="00BF2EB2"/>
    <w:rsid w:val="00BF32CA"/>
    <w:rsid w:val="00BF338B"/>
    <w:rsid w:val="00BF61D2"/>
    <w:rsid w:val="00BF70B8"/>
    <w:rsid w:val="00BF70E8"/>
    <w:rsid w:val="00BF720A"/>
    <w:rsid w:val="00BF7A9E"/>
    <w:rsid w:val="00C006C3"/>
    <w:rsid w:val="00C00DF9"/>
    <w:rsid w:val="00C04803"/>
    <w:rsid w:val="00C04FC9"/>
    <w:rsid w:val="00C0524F"/>
    <w:rsid w:val="00C06BC0"/>
    <w:rsid w:val="00C128E9"/>
    <w:rsid w:val="00C12AE3"/>
    <w:rsid w:val="00C141F4"/>
    <w:rsid w:val="00C15EC1"/>
    <w:rsid w:val="00C162F5"/>
    <w:rsid w:val="00C17954"/>
    <w:rsid w:val="00C2030A"/>
    <w:rsid w:val="00C25016"/>
    <w:rsid w:val="00C25B31"/>
    <w:rsid w:val="00C320C3"/>
    <w:rsid w:val="00C32BC0"/>
    <w:rsid w:val="00C37EA3"/>
    <w:rsid w:val="00C41D49"/>
    <w:rsid w:val="00C43CA4"/>
    <w:rsid w:val="00C47DEB"/>
    <w:rsid w:val="00C53FE0"/>
    <w:rsid w:val="00C5403B"/>
    <w:rsid w:val="00C545A6"/>
    <w:rsid w:val="00C5463E"/>
    <w:rsid w:val="00C55CDA"/>
    <w:rsid w:val="00C618A6"/>
    <w:rsid w:val="00C6290E"/>
    <w:rsid w:val="00C629CA"/>
    <w:rsid w:val="00C64385"/>
    <w:rsid w:val="00C64D4E"/>
    <w:rsid w:val="00C65864"/>
    <w:rsid w:val="00C659DC"/>
    <w:rsid w:val="00C65F57"/>
    <w:rsid w:val="00C661F6"/>
    <w:rsid w:val="00C679A7"/>
    <w:rsid w:val="00C73CFF"/>
    <w:rsid w:val="00C77748"/>
    <w:rsid w:val="00C77BE2"/>
    <w:rsid w:val="00C83A08"/>
    <w:rsid w:val="00C872DF"/>
    <w:rsid w:val="00C90196"/>
    <w:rsid w:val="00C90361"/>
    <w:rsid w:val="00C9238E"/>
    <w:rsid w:val="00C93964"/>
    <w:rsid w:val="00C943DF"/>
    <w:rsid w:val="00C95973"/>
    <w:rsid w:val="00C97BB3"/>
    <w:rsid w:val="00C97D4E"/>
    <w:rsid w:val="00CA14D1"/>
    <w:rsid w:val="00CA4F47"/>
    <w:rsid w:val="00CA6551"/>
    <w:rsid w:val="00CA6708"/>
    <w:rsid w:val="00CA744C"/>
    <w:rsid w:val="00CB0BD5"/>
    <w:rsid w:val="00CB40A9"/>
    <w:rsid w:val="00CB5CF1"/>
    <w:rsid w:val="00CB5FCA"/>
    <w:rsid w:val="00CC0197"/>
    <w:rsid w:val="00CC0EC8"/>
    <w:rsid w:val="00CC2FF9"/>
    <w:rsid w:val="00CC5886"/>
    <w:rsid w:val="00CC6BC1"/>
    <w:rsid w:val="00CC6E02"/>
    <w:rsid w:val="00CC7BAE"/>
    <w:rsid w:val="00CD1BDF"/>
    <w:rsid w:val="00CD1EFC"/>
    <w:rsid w:val="00CD5803"/>
    <w:rsid w:val="00CD6057"/>
    <w:rsid w:val="00CD6957"/>
    <w:rsid w:val="00CE05A7"/>
    <w:rsid w:val="00CE091F"/>
    <w:rsid w:val="00CE28A4"/>
    <w:rsid w:val="00CE2BAA"/>
    <w:rsid w:val="00CE495F"/>
    <w:rsid w:val="00CE76BF"/>
    <w:rsid w:val="00CF2DC3"/>
    <w:rsid w:val="00CF336F"/>
    <w:rsid w:val="00CF47A3"/>
    <w:rsid w:val="00CF6AA5"/>
    <w:rsid w:val="00D01B8B"/>
    <w:rsid w:val="00D02D0B"/>
    <w:rsid w:val="00D03E08"/>
    <w:rsid w:val="00D05626"/>
    <w:rsid w:val="00D07FCC"/>
    <w:rsid w:val="00D107D5"/>
    <w:rsid w:val="00D11D2E"/>
    <w:rsid w:val="00D1504D"/>
    <w:rsid w:val="00D16C0D"/>
    <w:rsid w:val="00D16E3E"/>
    <w:rsid w:val="00D20A8D"/>
    <w:rsid w:val="00D21934"/>
    <w:rsid w:val="00D236EA"/>
    <w:rsid w:val="00D23BF1"/>
    <w:rsid w:val="00D24971"/>
    <w:rsid w:val="00D24E7C"/>
    <w:rsid w:val="00D32EC2"/>
    <w:rsid w:val="00D3565B"/>
    <w:rsid w:val="00D37EEB"/>
    <w:rsid w:val="00D44DC5"/>
    <w:rsid w:val="00D45396"/>
    <w:rsid w:val="00D45416"/>
    <w:rsid w:val="00D4762D"/>
    <w:rsid w:val="00D50CF0"/>
    <w:rsid w:val="00D61955"/>
    <w:rsid w:val="00D62023"/>
    <w:rsid w:val="00D62C0D"/>
    <w:rsid w:val="00D63241"/>
    <w:rsid w:val="00D65542"/>
    <w:rsid w:val="00D66607"/>
    <w:rsid w:val="00D66A22"/>
    <w:rsid w:val="00D66FF2"/>
    <w:rsid w:val="00D722CC"/>
    <w:rsid w:val="00D73658"/>
    <w:rsid w:val="00D7380D"/>
    <w:rsid w:val="00D74205"/>
    <w:rsid w:val="00D7525E"/>
    <w:rsid w:val="00D762B3"/>
    <w:rsid w:val="00D82B1E"/>
    <w:rsid w:val="00D84CAD"/>
    <w:rsid w:val="00D85D48"/>
    <w:rsid w:val="00D86164"/>
    <w:rsid w:val="00D866F6"/>
    <w:rsid w:val="00D944D5"/>
    <w:rsid w:val="00D94827"/>
    <w:rsid w:val="00DA062F"/>
    <w:rsid w:val="00DA4391"/>
    <w:rsid w:val="00DA46EA"/>
    <w:rsid w:val="00DA4C14"/>
    <w:rsid w:val="00DA548D"/>
    <w:rsid w:val="00DB19F7"/>
    <w:rsid w:val="00DB2571"/>
    <w:rsid w:val="00DB29BD"/>
    <w:rsid w:val="00DB2B4F"/>
    <w:rsid w:val="00DB4484"/>
    <w:rsid w:val="00DC2453"/>
    <w:rsid w:val="00DC3274"/>
    <w:rsid w:val="00DC598F"/>
    <w:rsid w:val="00DC6BD5"/>
    <w:rsid w:val="00DD1768"/>
    <w:rsid w:val="00DD18EA"/>
    <w:rsid w:val="00DD1D3D"/>
    <w:rsid w:val="00DD3053"/>
    <w:rsid w:val="00DD5D1A"/>
    <w:rsid w:val="00DD66A4"/>
    <w:rsid w:val="00DE0988"/>
    <w:rsid w:val="00DE18C8"/>
    <w:rsid w:val="00DE4AB1"/>
    <w:rsid w:val="00DE5FA7"/>
    <w:rsid w:val="00DF0536"/>
    <w:rsid w:val="00DF37B6"/>
    <w:rsid w:val="00DF3C08"/>
    <w:rsid w:val="00E00260"/>
    <w:rsid w:val="00E01317"/>
    <w:rsid w:val="00E016C0"/>
    <w:rsid w:val="00E01988"/>
    <w:rsid w:val="00E02125"/>
    <w:rsid w:val="00E03148"/>
    <w:rsid w:val="00E034C4"/>
    <w:rsid w:val="00E04A2D"/>
    <w:rsid w:val="00E050A4"/>
    <w:rsid w:val="00E072F8"/>
    <w:rsid w:val="00E10585"/>
    <w:rsid w:val="00E10A29"/>
    <w:rsid w:val="00E11469"/>
    <w:rsid w:val="00E1585F"/>
    <w:rsid w:val="00E16E0F"/>
    <w:rsid w:val="00E204D5"/>
    <w:rsid w:val="00E2090F"/>
    <w:rsid w:val="00E23C32"/>
    <w:rsid w:val="00E24AB0"/>
    <w:rsid w:val="00E25F0E"/>
    <w:rsid w:val="00E2680A"/>
    <w:rsid w:val="00E26A49"/>
    <w:rsid w:val="00E30731"/>
    <w:rsid w:val="00E309D1"/>
    <w:rsid w:val="00E3387F"/>
    <w:rsid w:val="00E34D76"/>
    <w:rsid w:val="00E40CBF"/>
    <w:rsid w:val="00E4232D"/>
    <w:rsid w:val="00E4242E"/>
    <w:rsid w:val="00E42AEC"/>
    <w:rsid w:val="00E44A3E"/>
    <w:rsid w:val="00E47BAF"/>
    <w:rsid w:val="00E50A2A"/>
    <w:rsid w:val="00E56073"/>
    <w:rsid w:val="00E565B7"/>
    <w:rsid w:val="00E5670B"/>
    <w:rsid w:val="00E57FDC"/>
    <w:rsid w:val="00E6046C"/>
    <w:rsid w:val="00E62B9F"/>
    <w:rsid w:val="00E64372"/>
    <w:rsid w:val="00E64C6B"/>
    <w:rsid w:val="00E711E2"/>
    <w:rsid w:val="00E717BA"/>
    <w:rsid w:val="00E73137"/>
    <w:rsid w:val="00E74266"/>
    <w:rsid w:val="00E75C5A"/>
    <w:rsid w:val="00E81E41"/>
    <w:rsid w:val="00E82AEF"/>
    <w:rsid w:val="00E82DC7"/>
    <w:rsid w:val="00E84283"/>
    <w:rsid w:val="00E8570F"/>
    <w:rsid w:val="00E87C39"/>
    <w:rsid w:val="00E91CF9"/>
    <w:rsid w:val="00E92D8C"/>
    <w:rsid w:val="00E94BF3"/>
    <w:rsid w:val="00E9615F"/>
    <w:rsid w:val="00EA043E"/>
    <w:rsid w:val="00EA1AAA"/>
    <w:rsid w:val="00EA4003"/>
    <w:rsid w:val="00EA4189"/>
    <w:rsid w:val="00EB0C7E"/>
    <w:rsid w:val="00EB1766"/>
    <w:rsid w:val="00EB59F1"/>
    <w:rsid w:val="00EB6072"/>
    <w:rsid w:val="00EB6ED7"/>
    <w:rsid w:val="00EC3A01"/>
    <w:rsid w:val="00EC4DBA"/>
    <w:rsid w:val="00ED1F4F"/>
    <w:rsid w:val="00ED2E67"/>
    <w:rsid w:val="00ED3457"/>
    <w:rsid w:val="00ED3F0B"/>
    <w:rsid w:val="00ED6E34"/>
    <w:rsid w:val="00ED7AD3"/>
    <w:rsid w:val="00ED7CD3"/>
    <w:rsid w:val="00EE03E4"/>
    <w:rsid w:val="00EE2032"/>
    <w:rsid w:val="00EE2A2F"/>
    <w:rsid w:val="00EF0BCB"/>
    <w:rsid w:val="00EF18BB"/>
    <w:rsid w:val="00EF1A0B"/>
    <w:rsid w:val="00EF3452"/>
    <w:rsid w:val="00EF5901"/>
    <w:rsid w:val="00EF7CB4"/>
    <w:rsid w:val="00F00598"/>
    <w:rsid w:val="00F014E4"/>
    <w:rsid w:val="00F024FC"/>
    <w:rsid w:val="00F15BDB"/>
    <w:rsid w:val="00F21C2D"/>
    <w:rsid w:val="00F23557"/>
    <w:rsid w:val="00F23F9A"/>
    <w:rsid w:val="00F241CE"/>
    <w:rsid w:val="00F255FA"/>
    <w:rsid w:val="00F25D8A"/>
    <w:rsid w:val="00F27C7F"/>
    <w:rsid w:val="00F3341A"/>
    <w:rsid w:val="00F33861"/>
    <w:rsid w:val="00F35AF1"/>
    <w:rsid w:val="00F41A9D"/>
    <w:rsid w:val="00F42915"/>
    <w:rsid w:val="00F43DC5"/>
    <w:rsid w:val="00F4734F"/>
    <w:rsid w:val="00F473EA"/>
    <w:rsid w:val="00F52016"/>
    <w:rsid w:val="00F52499"/>
    <w:rsid w:val="00F54577"/>
    <w:rsid w:val="00F5628B"/>
    <w:rsid w:val="00F61812"/>
    <w:rsid w:val="00F63898"/>
    <w:rsid w:val="00F64FEB"/>
    <w:rsid w:val="00F6596C"/>
    <w:rsid w:val="00F66DDA"/>
    <w:rsid w:val="00F67B19"/>
    <w:rsid w:val="00F70BD2"/>
    <w:rsid w:val="00F710B3"/>
    <w:rsid w:val="00F71736"/>
    <w:rsid w:val="00F71883"/>
    <w:rsid w:val="00F74D72"/>
    <w:rsid w:val="00F77936"/>
    <w:rsid w:val="00F805F2"/>
    <w:rsid w:val="00F81E98"/>
    <w:rsid w:val="00F82630"/>
    <w:rsid w:val="00F82C06"/>
    <w:rsid w:val="00F840F8"/>
    <w:rsid w:val="00F85961"/>
    <w:rsid w:val="00F90FE4"/>
    <w:rsid w:val="00F91CC3"/>
    <w:rsid w:val="00F930EB"/>
    <w:rsid w:val="00F956FF"/>
    <w:rsid w:val="00F95A56"/>
    <w:rsid w:val="00FA070E"/>
    <w:rsid w:val="00FA0CA2"/>
    <w:rsid w:val="00FA0EB1"/>
    <w:rsid w:val="00FA296A"/>
    <w:rsid w:val="00FA4B3E"/>
    <w:rsid w:val="00FA5D5E"/>
    <w:rsid w:val="00FB0EBB"/>
    <w:rsid w:val="00FB6EF4"/>
    <w:rsid w:val="00FB76F2"/>
    <w:rsid w:val="00FC1FEE"/>
    <w:rsid w:val="00FC2F74"/>
    <w:rsid w:val="00FC5619"/>
    <w:rsid w:val="00FC618E"/>
    <w:rsid w:val="00FE0325"/>
    <w:rsid w:val="00FE24C6"/>
    <w:rsid w:val="00FE27EA"/>
    <w:rsid w:val="00FE493D"/>
    <w:rsid w:val="00FE61A4"/>
    <w:rsid w:val="00FF041F"/>
    <w:rsid w:val="00FF1BA7"/>
    <w:rsid w:val="00FF5157"/>
    <w:rsid w:val="00FF534B"/>
    <w:rsid w:val="00FF6AB1"/>
    <w:rsid w:val="15994DDE"/>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semiHidden="0" w:name="Date"/>
    <w:lsdException w:qFormat="1" w:unhideWhenUsed="0"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qFormat="1" w:unhideWhenUsed="0"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39"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21"/>
    <w:qFormat/>
    <w:uiPriority w:val="99"/>
    <w:pPr>
      <w:keepNext/>
      <w:keepLines/>
      <w:spacing w:before="340" w:after="330" w:line="576" w:lineRule="auto"/>
      <w:outlineLvl w:val="0"/>
    </w:pPr>
    <w:rPr>
      <w:b/>
      <w:bCs/>
      <w:kern w:val="44"/>
      <w:sz w:val="44"/>
      <w:szCs w:val="44"/>
    </w:rPr>
  </w:style>
  <w:style w:type="paragraph" w:styleId="3">
    <w:name w:val="heading 2"/>
    <w:basedOn w:val="1"/>
    <w:link w:val="22"/>
    <w:qFormat/>
    <w:uiPriority w:val="99"/>
    <w:pPr>
      <w:widowControl/>
      <w:spacing w:before="100" w:beforeAutospacing="1" w:after="100" w:afterAutospacing="1"/>
      <w:jc w:val="left"/>
      <w:outlineLvl w:val="1"/>
    </w:pPr>
    <w:rPr>
      <w:rFonts w:ascii="Arial Unicode MS" w:hAnsi="Arial Unicode MS" w:eastAsia="Arial Unicode MS"/>
      <w:b/>
      <w:kern w:val="0"/>
      <w:sz w:val="36"/>
    </w:rPr>
  </w:style>
  <w:style w:type="character" w:default="1" w:styleId="17">
    <w:name w:val="Default Paragraph Font"/>
    <w:semiHidden/>
    <w:unhideWhenUsed/>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4">
    <w:name w:val="Document Map"/>
    <w:basedOn w:val="1"/>
    <w:link w:val="38"/>
    <w:semiHidden/>
    <w:qFormat/>
    <w:uiPriority w:val="99"/>
    <w:rPr>
      <w:rFonts w:ascii="宋体"/>
      <w:sz w:val="18"/>
      <w:szCs w:val="18"/>
    </w:rPr>
  </w:style>
  <w:style w:type="paragraph" w:styleId="5">
    <w:name w:val="annotation text"/>
    <w:basedOn w:val="1"/>
    <w:link w:val="30"/>
    <w:qFormat/>
    <w:uiPriority w:val="99"/>
    <w:pPr>
      <w:jc w:val="left"/>
    </w:pPr>
  </w:style>
  <w:style w:type="paragraph" w:styleId="6">
    <w:name w:val="Body Text"/>
    <w:basedOn w:val="1"/>
    <w:link w:val="27"/>
    <w:qFormat/>
    <w:uiPriority w:val="99"/>
    <w:pPr>
      <w:spacing w:after="120"/>
    </w:pPr>
  </w:style>
  <w:style w:type="paragraph" w:styleId="7">
    <w:name w:val="Plain Text"/>
    <w:basedOn w:val="1"/>
    <w:link w:val="37"/>
    <w:qFormat/>
    <w:uiPriority w:val="0"/>
    <w:pPr>
      <w:widowControl/>
      <w:jc w:val="left"/>
    </w:pPr>
    <w:rPr>
      <w:rFonts w:ascii="MingLiU" w:hAnsi="Courier New" w:eastAsia="MingLiU"/>
      <w:kern w:val="0"/>
      <w:sz w:val="24"/>
      <w:lang w:eastAsia="zh-TW"/>
    </w:rPr>
  </w:style>
  <w:style w:type="paragraph" w:styleId="8">
    <w:name w:val="Date"/>
    <w:basedOn w:val="1"/>
    <w:next w:val="1"/>
    <w:link w:val="34"/>
    <w:qFormat/>
    <w:uiPriority w:val="99"/>
    <w:pPr>
      <w:ind w:left="100" w:leftChars="2500"/>
    </w:pPr>
  </w:style>
  <w:style w:type="paragraph" w:styleId="9">
    <w:name w:val="Balloon Text"/>
    <w:basedOn w:val="1"/>
    <w:link w:val="33"/>
    <w:qFormat/>
    <w:uiPriority w:val="99"/>
    <w:rPr>
      <w:sz w:val="18"/>
      <w:szCs w:val="18"/>
    </w:rPr>
  </w:style>
  <w:style w:type="paragraph" w:styleId="10">
    <w:name w:val="footer"/>
    <w:basedOn w:val="1"/>
    <w:link w:val="32"/>
    <w:qFormat/>
    <w:uiPriority w:val="99"/>
    <w:pPr>
      <w:tabs>
        <w:tab w:val="center" w:pos="4153"/>
        <w:tab w:val="right" w:pos="8306"/>
      </w:tabs>
      <w:snapToGrid w:val="0"/>
      <w:jc w:val="left"/>
    </w:pPr>
    <w:rPr>
      <w:sz w:val="18"/>
    </w:rPr>
  </w:style>
  <w:style w:type="paragraph" w:styleId="11">
    <w:name w:val="header"/>
    <w:basedOn w:val="1"/>
    <w:link w:val="35"/>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2">
    <w:name w:val="Normal (Web)"/>
    <w:basedOn w:val="1"/>
    <w:qFormat/>
    <w:uiPriority w:val="0"/>
    <w:pPr>
      <w:widowControl/>
      <w:spacing w:before="100" w:beforeAutospacing="1" w:after="100" w:afterAutospacing="1"/>
      <w:jc w:val="left"/>
    </w:pPr>
    <w:rPr>
      <w:rFonts w:ascii="Arial Unicode MS" w:hAnsi="Arial Unicode MS" w:eastAsia="Arial Unicode MS"/>
      <w:kern w:val="0"/>
      <w:sz w:val="24"/>
    </w:rPr>
  </w:style>
  <w:style w:type="paragraph" w:styleId="13">
    <w:name w:val="annotation subject"/>
    <w:basedOn w:val="5"/>
    <w:next w:val="5"/>
    <w:link w:val="31"/>
    <w:qFormat/>
    <w:uiPriority w:val="99"/>
    <w:rPr>
      <w:b/>
      <w:bCs/>
    </w:rPr>
  </w:style>
  <w:style w:type="paragraph" w:styleId="14">
    <w:name w:val="Body Text First Indent"/>
    <w:basedOn w:val="6"/>
    <w:link w:val="28"/>
    <w:qFormat/>
    <w:uiPriority w:val="99"/>
    <w:pPr>
      <w:ind w:firstLine="420" w:firstLineChars="100"/>
    </w:pPr>
    <w:rPr>
      <w:szCs w:val="24"/>
    </w:rPr>
  </w:style>
  <w:style w:type="table" w:styleId="16">
    <w:name w:val="Table Grid"/>
    <w:basedOn w:val="15"/>
    <w:qFormat/>
    <w:locked/>
    <w:uiPriority w:val="39"/>
    <w:rPr>
      <w:kern w:val="2"/>
      <w:sz w:val="21"/>
      <w:szCs w:val="21"/>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8">
    <w:name w:val="page number"/>
    <w:basedOn w:val="17"/>
    <w:qFormat/>
    <w:uiPriority w:val="99"/>
    <w:rPr>
      <w:rFonts w:cs="Times New Roman"/>
    </w:rPr>
  </w:style>
  <w:style w:type="character" w:styleId="19">
    <w:name w:val="Hyperlink"/>
    <w:basedOn w:val="17"/>
    <w:qFormat/>
    <w:uiPriority w:val="99"/>
    <w:rPr>
      <w:rFonts w:cs="Times New Roman"/>
      <w:color w:val="0000FF"/>
      <w:u w:val="single"/>
    </w:rPr>
  </w:style>
  <w:style w:type="character" w:styleId="20">
    <w:name w:val="annotation reference"/>
    <w:basedOn w:val="17"/>
    <w:qFormat/>
    <w:uiPriority w:val="99"/>
    <w:rPr>
      <w:rFonts w:cs="Times New Roman"/>
      <w:sz w:val="21"/>
      <w:szCs w:val="21"/>
    </w:rPr>
  </w:style>
  <w:style w:type="character" w:customStyle="1" w:styleId="21">
    <w:name w:val="标题 1 Char"/>
    <w:basedOn w:val="17"/>
    <w:link w:val="2"/>
    <w:qFormat/>
    <w:locked/>
    <w:uiPriority w:val="99"/>
    <w:rPr>
      <w:rFonts w:cs="Times New Roman"/>
      <w:b/>
      <w:bCs/>
      <w:kern w:val="44"/>
      <w:sz w:val="44"/>
      <w:szCs w:val="44"/>
    </w:rPr>
  </w:style>
  <w:style w:type="character" w:customStyle="1" w:styleId="22">
    <w:name w:val="标题 2 Char"/>
    <w:basedOn w:val="17"/>
    <w:link w:val="3"/>
    <w:semiHidden/>
    <w:qFormat/>
    <w:locked/>
    <w:uiPriority w:val="99"/>
    <w:rPr>
      <w:rFonts w:ascii="Cambria" w:hAnsi="Cambria" w:eastAsia="宋体" w:cs="Times New Roman"/>
      <w:b/>
      <w:bCs/>
      <w:sz w:val="32"/>
      <w:szCs w:val="32"/>
    </w:rPr>
  </w:style>
  <w:style w:type="paragraph" w:customStyle="1" w:styleId="23">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24">
    <w:name w:val="List Paragraph"/>
    <w:basedOn w:val="1"/>
    <w:qFormat/>
    <w:uiPriority w:val="34"/>
    <w:pPr>
      <w:ind w:firstLine="420" w:firstLineChars="200"/>
    </w:pPr>
    <w:rPr>
      <w:rFonts w:ascii="Calibri" w:hAnsi="Calibri"/>
      <w:szCs w:val="22"/>
    </w:rPr>
  </w:style>
  <w:style w:type="paragraph" w:customStyle="1" w:styleId="25">
    <w:name w:val="Char Char Char Char"/>
    <w:basedOn w:val="1"/>
    <w:qFormat/>
    <w:uiPriority w:val="99"/>
    <w:pPr>
      <w:widowControl/>
      <w:spacing w:after="160" w:line="240" w:lineRule="exact"/>
      <w:jc w:val="left"/>
    </w:pPr>
  </w:style>
  <w:style w:type="paragraph" w:customStyle="1" w:styleId="26">
    <w:name w:val="Char Char Char Char Char Char Char"/>
    <w:basedOn w:val="1"/>
    <w:qFormat/>
    <w:uiPriority w:val="99"/>
    <w:pPr>
      <w:widowControl/>
      <w:spacing w:after="160" w:line="240" w:lineRule="exact"/>
      <w:jc w:val="left"/>
    </w:pPr>
    <w:rPr>
      <w:szCs w:val="24"/>
    </w:rPr>
  </w:style>
  <w:style w:type="character" w:customStyle="1" w:styleId="27">
    <w:name w:val="正文文本 Char"/>
    <w:basedOn w:val="17"/>
    <w:link w:val="6"/>
    <w:semiHidden/>
    <w:qFormat/>
    <w:locked/>
    <w:uiPriority w:val="99"/>
    <w:rPr>
      <w:rFonts w:cs="Times New Roman"/>
      <w:sz w:val="20"/>
      <w:szCs w:val="20"/>
    </w:rPr>
  </w:style>
  <w:style w:type="character" w:customStyle="1" w:styleId="28">
    <w:name w:val="正文首行缩进 Char"/>
    <w:basedOn w:val="27"/>
    <w:link w:val="14"/>
    <w:semiHidden/>
    <w:qFormat/>
    <w:locked/>
    <w:uiPriority w:val="99"/>
    <w:rPr>
      <w:rFonts w:cs="Times New Roman"/>
      <w:sz w:val="20"/>
      <w:szCs w:val="20"/>
    </w:rPr>
  </w:style>
  <w:style w:type="paragraph" w:customStyle="1" w:styleId="29">
    <w:name w:val="列出段落1"/>
    <w:basedOn w:val="1"/>
    <w:qFormat/>
    <w:uiPriority w:val="99"/>
    <w:pPr>
      <w:ind w:firstLine="420" w:firstLineChars="200"/>
    </w:pPr>
    <w:rPr>
      <w:rFonts w:ascii="Calibri" w:hAnsi="Calibri"/>
      <w:szCs w:val="22"/>
    </w:rPr>
  </w:style>
  <w:style w:type="character" w:customStyle="1" w:styleId="30">
    <w:name w:val="批注文字 Char"/>
    <w:basedOn w:val="17"/>
    <w:link w:val="5"/>
    <w:semiHidden/>
    <w:qFormat/>
    <w:locked/>
    <w:uiPriority w:val="99"/>
    <w:rPr>
      <w:rFonts w:cs="Times New Roman"/>
      <w:sz w:val="20"/>
      <w:szCs w:val="20"/>
    </w:rPr>
  </w:style>
  <w:style w:type="character" w:customStyle="1" w:styleId="31">
    <w:name w:val="批注主题 Char"/>
    <w:basedOn w:val="30"/>
    <w:link w:val="13"/>
    <w:semiHidden/>
    <w:qFormat/>
    <w:locked/>
    <w:uiPriority w:val="99"/>
    <w:rPr>
      <w:rFonts w:cs="Times New Roman"/>
      <w:b/>
      <w:bCs/>
      <w:sz w:val="20"/>
      <w:szCs w:val="20"/>
    </w:rPr>
  </w:style>
  <w:style w:type="character" w:customStyle="1" w:styleId="32">
    <w:name w:val="页脚 Char"/>
    <w:basedOn w:val="17"/>
    <w:link w:val="10"/>
    <w:qFormat/>
    <w:locked/>
    <w:uiPriority w:val="99"/>
    <w:rPr>
      <w:rFonts w:cs="Times New Roman"/>
      <w:kern w:val="2"/>
      <w:sz w:val="18"/>
    </w:rPr>
  </w:style>
  <w:style w:type="character" w:customStyle="1" w:styleId="33">
    <w:name w:val="批注框文本 Char"/>
    <w:basedOn w:val="17"/>
    <w:link w:val="9"/>
    <w:semiHidden/>
    <w:qFormat/>
    <w:locked/>
    <w:uiPriority w:val="99"/>
    <w:rPr>
      <w:rFonts w:cs="Times New Roman"/>
      <w:sz w:val="2"/>
    </w:rPr>
  </w:style>
  <w:style w:type="character" w:customStyle="1" w:styleId="34">
    <w:name w:val="日期 Char"/>
    <w:basedOn w:val="17"/>
    <w:link w:val="8"/>
    <w:semiHidden/>
    <w:qFormat/>
    <w:locked/>
    <w:uiPriority w:val="99"/>
    <w:rPr>
      <w:rFonts w:cs="Times New Roman"/>
      <w:sz w:val="20"/>
      <w:szCs w:val="20"/>
    </w:rPr>
  </w:style>
  <w:style w:type="character" w:customStyle="1" w:styleId="35">
    <w:name w:val="页眉 Char"/>
    <w:basedOn w:val="17"/>
    <w:link w:val="11"/>
    <w:qFormat/>
    <w:locked/>
    <w:uiPriority w:val="99"/>
    <w:rPr>
      <w:rFonts w:cs="Times New Roman"/>
      <w:kern w:val="2"/>
      <w:sz w:val="18"/>
    </w:rPr>
  </w:style>
  <w:style w:type="paragraph" w:customStyle="1" w:styleId="36">
    <w:name w:val="p0"/>
    <w:qFormat/>
    <w:uiPriority w:val="99"/>
    <w:rPr>
      <w:rFonts w:ascii="Times New Roman" w:hAnsi="Times New Roman" w:eastAsia="宋体" w:cs="Times New Roman"/>
      <w:szCs w:val="21"/>
      <w:lang w:val="en-US" w:eastAsia="zh-CN" w:bidi="ar-SA"/>
    </w:rPr>
  </w:style>
  <w:style w:type="character" w:customStyle="1" w:styleId="37">
    <w:name w:val="纯文本 Char"/>
    <w:basedOn w:val="17"/>
    <w:link w:val="7"/>
    <w:qFormat/>
    <w:locked/>
    <w:uiPriority w:val="99"/>
    <w:rPr>
      <w:rFonts w:ascii="MingLiU" w:hAnsi="Courier New" w:eastAsia="MingLiU" w:cs="Times New Roman"/>
      <w:sz w:val="24"/>
      <w:lang w:eastAsia="zh-TW"/>
    </w:rPr>
  </w:style>
  <w:style w:type="character" w:customStyle="1" w:styleId="38">
    <w:name w:val="文档结构图 Char"/>
    <w:basedOn w:val="17"/>
    <w:link w:val="4"/>
    <w:semiHidden/>
    <w:qFormat/>
    <w:locked/>
    <w:uiPriority w:val="99"/>
    <w:rPr>
      <w:rFonts w:ascii="宋体" w:cs="Times New Roman"/>
      <w:kern w:val="2"/>
      <w:sz w:val="18"/>
      <w:szCs w:val="18"/>
    </w:rPr>
  </w:style>
  <w:style w:type="paragraph" w:customStyle="1" w:styleId="39">
    <w:name w:val="a0"/>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40">
    <w:name w:val="列出段落2"/>
    <w:basedOn w:val="1"/>
    <w:qFormat/>
    <w:uiPriority w:val="0"/>
    <w:pPr>
      <w:ind w:firstLine="420" w:firstLineChars="200"/>
    </w:pPr>
    <w:rPr>
      <w:rFonts w:ascii="Calibri" w:hAnsi="Calibri"/>
      <w:szCs w:val="22"/>
    </w:rPr>
  </w:style>
  <w:style w:type="paragraph" w:customStyle="1" w:styleId="41">
    <w:name w:val="cc正文"/>
    <w:basedOn w:val="1"/>
    <w:qFormat/>
    <w:uiPriority w:val="0"/>
    <w:pPr>
      <w:spacing w:line="360" w:lineRule="auto"/>
      <w:ind w:firstLine="200" w:firstLineChars="200"/>
    </w:pPr>
    <w:rPr>
      <w:rFonts w:ascii="Calibri" w:hAnsi="Calibri"/>
      <w:sz w:val="28"/>
      <w:szCs w:val="24"/>
    </w:rPr>
  </w:style>
  <w:style w:type="character" w:customStyle="1" w:styleId="42">
    <w:name w:val="Body text|1_"/>
    <w:basedOn w:val="17"/>
    <w:link w:val="43"/>
    <w:qFormat/>
    <w:uiPriority w:val="0"/>
    <w:rPr>
      <w:rFonts w:ascii="宋体" w:hAnsi="宋体" w:cs="宋体"/>
      <w:sz w:val="30"/>
      <w:szCs w:val="30"/>
      <w:lang w:val="zh-TW" w:eastAsia="zh-TW" w:bidi="zh-TW"/>
    </w:rPr>
  </w:style>
  <w:style w:type="paragraph" w:customStyle="1" w:styleId="43">
    <w:name w:val="Body text|1"/>
    <w:basedOn w:val="1"/>
    <w:link w:val="42"/>
    <w:qFormat/>
    <w:uiPriority w:val="0"/>
    <w:pPr>
      <w:spacing w:line="439" w:lineRule="auto"/>
      <w:jc w:val="left"/>
    </w:pPr>
    <w:rPr>
      <w:rFonts w:ascii="宋体" w:hAnsi="宋体" w:cs="宋体"/>
      <w:kern w:val="0"/>
      <w:sz w:val="30"/>
      <w:szCs w:val="30"/>
      <w:lang w:val="zh-TW" w:eastAsia="zh-TW" w:bidi="zh-TW"/>
    </w:rPr>
  </w:style>
  <w:style w:type="paragraph" w:customStyle="1" w:styleId="44">
    <w:name w:val="Char Char Char"/>
    <w:basedOn w:val="1"/>
    <w:qFormat/>
    <w:uiPriority w:val="0"/>
    <w:pPr>
      <w:tabs>
        <w:tab w:val="left" w:pos="360"/>
      </w:tabs>
      <w:spacing w:line="360" w:lineRule="auto"/>
    </w:pPr>
    <w:rPr>
      <w:sz w:val="24"/>
      <w:szCs w:val="24"/>
    </w:rPr>
  </w:style>
  <w:style w:type="paragraph" w:customStyle="1" w:styleId="45">
    <w:name w:val="Revision"/>
    <w:hidden/>
    <w:semiHidden/>
    <w:qFormat/>
    <w:uiPriority w:val="99"/>
    <w:rPr>
      <w:rFonts w:ascii="Times New Roman" w:hAnsi="Times New Roman" w:eastAsia="宋体" w:cs="Times New Roman"/>
      <w:kern w:val="2"/>
      <w:sz w:val="21"/>
      <w:lang w:val="en-US" w:eastAsia="zh-CN" w:bidi="ar-SA"/>
    </w:rPr>
  </w:style>
  <w:style w:type="paragraph" w:customStyle="1" w:styleId="46">
    <w:name w:val="修订1"/>
    <w:hidden/>
    <w:unhideWhenUsed/>
    <w:qFormat/>
    <w:uiPriority w:val="99"/>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FCFDA7-B836-47F7-B84D-E6EF1F9843D4}">
  <ds:schemaRefs/>
</ds:datastoreItem>
</file>

<file path=docProps/app.xml><?xml version="1.0" encoding="utf-8"?>
<Properties xmlns="http://schemas.openxmlformats.org/officeDocument/2006/extended-properties" xmlns:vt="http://schemas.openxmlformats.org/officeDocument/2006/docPropsVTypes">
  <Template>Normal.dotm</Template>
  <Company>Lenovo (Beijing) Limited</Company>
  <Pages>11</Pages>
  <Words>10042</Words>
  <Characters>10064</Characters>
  <Lines>80</Lines>
  <Paragraphs>22</Paragraphs>
  <TotalTime>2</TotalTime>
  <ScaleCrop>false</ScaleCrop>
  <LinksUpToDate>false</LinksUpToDate>
  <CharactersWithSpaces>11137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2023-09-06T07:01:00Z</dcterms:created>
  <dc:creator>Lenovo User</dc:creator>
  <cp:lastModifiedBy>肖唯</cp:lastModifiedBy>
  <cp:lastPrinted>2023-07-06T07:12:00Z</cp:lastPrinted>
  <dcterms:modified xsi:type="dcterms:W3CDTF">2025-09-09T08:20:19Z</dcterms:modified>
  <dc:title>厦门创程担保有限公司</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eyJoZGlkIjoiMThhMjA5NDIwZDg2YmQzNmQ0NWVhNTBhZjA3NmQ0MjgiLCJ1c2VySWQiOiI5NDUyNTAxMzIifQ==</vt:lpwstr>
  </property>
  <property fmtid="{D5CDD505-2E9C-101B-9397-08002B2CF9AE}" pid="4" name="ICV">
    <vt:lpwstr>2D1A895BD8AD43929B713901EC37F9C5_12</vt:lpwstr>
  </property>
</Properties>
</file>