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EDD82" w14:textId="77777777" w:rsidR="00CB4A5B" w:rsidRDefault="00000000">
      <w:pPr>
        <w:spacing w:line="560" w:lineRule="exact"/>
        <w:jc w:val="center"/>
        <w:rPr>
          <w:rFonts w:ascii="Times New Roman" w:eastAsia="仿宋" w:hAnsi="Times New Roman" w:cs="Times New Roman"/>
        </w:rPr>
      </w:pPr>
      <w:r>
        <w:rPr>
          <w:rFonts w:ascii="Times New Roman" w:hAnsi="Times New Roman" w:cs="Times New Roman" w:hint="eastAsia"/>
          <w:b/>
          <w:bCs/>
          <w:sz w:val="44"/>
          <w:szCs w:val="44"/>
        </w:rPr>
        <w:t>场地招租</w:t>
      </w:r>
      <w:r>
        <w:rPr>
          <w:rFonts w:ascii="Times New Roman" w:hAnsi="Times New Roman" w:cs="Times New Roman"/>
          <w:b/>
          <w:bCs/>
          <w:sz w:val="44"/>
          <w:szCs w:val="44"/>
        </w:rPr>
        <w:t>方案</w:t>
      </w:r>
    </w:p>
    <w:p w14:paraId="6874BFA2" w14:textId="77777777" w:rsidR="00CB4A5B" w:rsidRDefault="00CB4A5B">
      <w:pPr>
        <w:spacing w:line="560" w:lineRule="exact"/>
        <w:ind w:firstLineChars="200" w:firstLine="596"/>
        <w:rPr>
          <w:rFonts w:ascii="黑体" w:eastAsia="黑体" w:hAnsi="黑体" w:cs="黑体"/>
          <w:b/>
          <w:bCs/>
        </w:rPr>
      </w:pPr>
    </w:p>
    <w:p w14:paraId="61E889FC" w14:textId="77777777" w:rsidR="00CB4A5B" w:rsidRDefault="00000000">
      <w:pPr>
        <w:spacing w:line="560" w:lineRule="exact"/>
        <w:ind w:firstLineChars="200" w:firstLine="596"/>
        <w:rPr>
          <w:rFonts w:ascii="仿宋" w:eastAsia="仿宋" w:hAnsi="仿宋" w:cs="仿宋"/>
          <w:b/>
          <w:bCs/>
          <w:szCs w:val="32"/>
        </w:rPr>
      </w:pPr>
      <w:r>
        <w:rPr>
          <w:rFonts w:ascii="仿宋" w:eastAsia="仿宋" w:hAnsi="仿宋" w:cs="仿宋" w:hint="eastAsia"/>
          <w:b/>
          <w:bCs/>
          <w:szCs w:val="32"/>
        </w:rPr>
        <w:t>一、招租概况</w:t>
      </w:r>
    </w:p>
    <w:p w14:paraId="3102641C" w14:textId="77777777" w:rsidR="00CB4A5B" w:rsidRDefault="00000000">
      <w:pPr>
        <w:spacing w:line="560" w:lineRule="exact"/>
        <w:ind w:firstLineChars="200" w:firstLine="593"/>
        <w:rPr>
          <w:rFonts w:ascii="仿宋" w:eastAsia="仿宋" w:hAnsi="仿宋" w:cs="仿宋"/>
          <w:szCs w:val="32"/>
          <w:lang w:bidi="ar"/>
        </w:rPr>
      </w:pPr>
      <w:r>
        <w:rPr>
          <w:rFonts w:ascii="仿宋" w:eastAsia="仿宋" w:hAnsi="仿宋" w:cs="仿宋" w:hint="eastAsia"/>
          <w:szCs w:val="32"/>
          <w:lang w:bidi="ar"/>
        </w:rPr>
        <w:t>厦门市集美区乐海路1号嘉庚体育馆</w:t>
      </w:r>
      <w:proofErr w:type="gramStart"/>
      <w:r>
        <w:rPr>
          <w:rFonts w:ascii="仿宋" w:eastAsia="仿宋" w:hAnsi="仿宋" w:cs="仿宋" w:hint="eastAsia"/>
          <w:szCs w:val="32"/>
          <w:lang w:bidi="ar"/>
        </w:rPr>
        <w:t>训练馆场芯1363平方米</w:t>
      </w:r>
      <w:proofErr w:type="gramEnd"/>
      <w:r>
        <w:rPr>
          <w:rFonts w:ascii="仿宋" w:eastAsia="仿宋" w:hAnsi="仿宋" w:cs="仿宋" w:hint="eastAsia"/>
          <w:szCs w:val="32"/>
          <w:lang w:bidi="ar"/>
        </w:rPr>
        <w:t>及服务用房21平方米的场地。</w:t>
      </w:r>
    </w:p>
    <w:p w14:paraId="43C75EAA" w14:textId="77777777" w:rsidR="00CB4A5B" w:rsidRDefault="00000000">
      <w:pPr>
        <w:spacing w:line="560" w:lineRule="exact"/>
        <w:ind w:firstLineChars="200" w:firstLine="596"/>
        <w:rPr>
          <w:rFonts w:ascii="仿宋" w:eastAsia="仿宋" w:hAnsi="仿宋" w:cs="仿宋"/>
          <w:b/>
          <w:bCs/>
          <w:szCs w:val="32"/>
        </w:rPr>
      </w:pPr>
      <w:r>
        <w:rPr>
          <w:rFonts w:ascii="仿宋" w:eastAsia="仿宋" w:hAnsi="仿宋" w:cs="仿宋" w:hint="eastAsia"/>
          <w:b/>
          <w:bCs/>
          <w:szCs w:val="32"/>
        </w:rPr>
        <w:t>二、招租基本情况</w:t>
      </w:r>
    </w:p>
    <w:p w14:paraId="52876717"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w:t>
      </w:r>
      <w:proofErr w:type="gramStart"/>
      <w:r>
        <w:rPr>
          <w:rFonts w:ascii="仿宋" w:eastAsia="仿宋" w:hAnsi="仿宋" w:cs="仿宋" w:hint="eastAsia"/>
          <w:szCs w:val="32"/>
        </w:rPr>
        <w:t>招租业</w:t>
      </w:r>
      <w:proofErr w:type="gramEnd"/>
      <w:r>
        <w:rPr>
          <w:rFonts w:ascii="仿宋" w:eastAsia="仿宋" w:hAnsi="仿宋" w:cs="仿宋" w:hint="eastAsia"/>
          <w:szCs w:val="32"/>
        </w:rPr>
        <w:t>态：篮球体育运动类项目</w:t>
      </w:r>
    </w:p>
    <w:p w14:paraId="2F8AB433"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2.招租方式：现状租赁</w:t>
      </w:r>
    </w:p>
    <w:p w14:paraId="772FD002"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3.租赁期限：5年</w:t>
      </w:r>
    </w:p>
    <w:p w14:paraId="004BC182"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4.租赁要求</w:t>
      </w:r>
    </w:p>
    <w:p w14:paraId="754B578A"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（1）仅作为篮球体育运动类项目使用，不得用于其他用途。如遇体育馆群众性活动需要，需无条件配合，必要时须暂停营业。</w:t>
      </w:r>
    </w:p>
    <w:p w14:paraId="666A35A1"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（2）租赁期间，不得改变承租用途，不得擅自全部或者部分转租、分租,或以合作经营等方式变相转租。</w:t>
      </w:r>
    </w:p>
    <w:p w14:paraId="13984A51"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（3）如需进行装修或改造的，改造方案需事先经招租方书面同意，必要时还需通过政府相关主管部门审批，相关费用由承租方负责。</w:t>
      </w:r>
    </w:p>
    <w:p w14:paraId="5467BD52" w14:textId="77777777" w:rsidR="00CB4A5B" w:rsidRDefault="00000000">
      <w:pPr>
        <w:widowControl/>
        <w:spacing w:line="560" w:lineRule="exact"/>
        <w:ind w:firstLineChars="200" w:firstLine="593"/>
        <w:rPr>
          <w:rFonts w:ascii="仿宋" w:eastAsia="仿宋" w:hAnsi="仿宋" w:cs="仿宋"/>
          <w:szCs w:val="32"/>
        </w:rPr>
      </w:pPr>
      <w:r>
        <w:rPr>
          <w:rFonts w:ascii="仿宋" w:eastAsia="仿宋" w:hAnsi="仿宋" w:cs="仿宋" w:hint="eastAsia"/>
          <w:szCs w:val="32"/>
        </w:rPr>
        <w:t>（4）租赁区域内新增设备设施由承租方自行投入并自行维保。</w:t>
      </w:r>
    </w:p>
    <w:p w14:paraId="2AD6DFF6" w14:textId="77777777" w:rsidR="00CB4A5B" w:rsidRDefault="00000000">
      <w:pPr>
        <w:spacing w:line="560" w:lineRule="exact"/>
        <w:ind w:firstLineChars="200" w:firstLine="593"/>
      </w:pPr>
      <w:r>
        <w:rPr>
          <w:rFonts w:ascii="仿宋" w:eastAsia="仿宋" w:hAnsi="仿宋" w:cs="仿宋" w:hint="eastAsia"/>
          <w:szCs w:val="32"/>
        </w:rPr>
        <w:t>（5）承租方应对标的物内原有的设施设备进行</w:t>
      </w:r>
      <w:proofErr w:type="gramStart"/>
      <w:r>
        <w:rPr>
          <w:rFonts w:ascii="仿宋" w:eastAsia="仿宋" w:hAnsi="仿宋" w:cs="仿宋" w:hint="eastAsia"/>
          <w:szCs w:val="32"/>
        </w:rPr>
        <w:t>及时维护</w:t>
      </w:r>
      <w:proofErr w:type="gramEnd"/>
      <w:r>
        <w:rPr>
          <w:rFonts w:ascii="仿宋" w:eastAsia="仿宋" w:hAnsi="仿宋" w:cs="仿宋" w:hint="eastAsia"/>
          <w:szCs w:val="32"/>
        </w:rPr>
        <w:t>与更 新，以确保合同期内和合同届满时始终具备良好的使用功能。</w:t>
      </w:r>
    </w:p>
    <w:p w14:paraId="105AACCC" w14:textId="77777777" w:rsidR="00CB4A5B" w:rsidRDefault="00000000">
      <w:pPr>
        <w:widowControl/>
        <w:spacing w:line="560" w:lineRule="exact"/>
        <w:ind w:firstLineChars="200" w:firstLine="593"/>
        <w:rPr>
          <w:rFonts w:ascii="仿宋" w:eastAsia="仿宋" w:hAnsi="仿宋" w:cs="仿宋"/>
          <w:szCs w:val="32"/>
        </w:rPr>
      </w:pPr>
      <w:r>
        <w:rPr>
          <w:rFonts w:ascii="仿宋" w:eastAsia="仿宋" w:hAnsi="仿宋" w:cs="仿宋" w:hint="eastAsia"/>
          <w:szCs w:val="32"/>
        </w:rPr>
        <w:t>5.招租底价</w:t>
      </w:r>
    </w:p>
    <w:p w14:paraId="01A3CC14" w14:textId="77777777" w:rsidR="00CB4A5B" w:rsidRDefault="00000000">
      <w:pPr>
        <w:widowControl/>
        <w:spacing w:line="560" w:lineRule="exact"/>
        <w:ind w:firstLineChars="200" w:firstLine="593"/>
        <w:rPr>
          <w:rFonts w:ascii="仿宋" w:eastAsia="仿宋" w:hAnsi="仿宋" w:cs="仿宋"/>
          <w:szCs w:val="32"/>
        </w:rPr>
      </w:pPr>
      <w:r>
        <w:rPr>
          <w:rFonts w:ascii="仿宋" w:eastAsia="仿宋" w:hAnsi="仿宋" w:cs="Times New Roman" w:hint="eastAsia"/>
          <w:color w:val="000000"/>
          <w:kern w:val="0"/>
          <w:szCs w:val="32"/>
        </w:rPr>
        <w:t>场地租金：固定租金5万元/月+变动租金(租赁场地营业收入的10%)</w:t>
      </w:r>
      <w:r>
        <w:rPr>
          <w:rFonts w:ascii="仿宋" w:eastAsia="仿宋" w:hAnsi="仿宋" w:cs="仿宋" w:hint="eastAsia"/>
          <w:szCs w:val="32"/>
        </w:rPr>
        <w:t>。固定租金</w:t>
      </w:r>
      <w:r>
        <w:rPr>
          <w:rFonts w:ascii="仿宋" w:eastAsia="仿宋" w:hAnsi="仿宋" w:cs="Times New Roman" w:hint="eastAsia"/>
          <w:color w:val="000000"/>
          <w:kern w:val="0"/>
          <w:szCs w:val="32"/>
        </w:rPr>
        <w:t>5万元/月</w:t>
      </w:r>
      <w:proofErr w:type="gramStart"/>
      <w:r>
        <w:rPr>
          <w:rFonts w:ascii="仿宋" w:eastAsia="仿宋" w:hAnsi="仿宋" w:cs="仿宋" w:hint="eastAsia"/>
          <w:szCs w:val="32"/>
        </w:rPr>
        <w:t>做为</w:t>
      </w:r>
      <w:proofErr w:type="gramEnd"/>
      <w:r>
        <w:rPr>
          <w:rFonts w:ascii="仿宋" w:eastAsia="仿宋" w:hAnsi="仿宋" w:cs="仿宋" w:hint="eastAsia"/>
          <w:szCs w:val="32"/>
        </w:rPr>
        <w:t>竞标底价，变动租金不参与竞标。</w:t>
      </w:r>
    </w:p>
    <w:p w14:paraId="03D8D710"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6.物业管理：由招租方负责。</w:t>
      </w:r>
    </w:p>
    <w:p w14:paraId="30BF3258"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7.支付方式</w:t>
      </w:r>
    </w:p>
    <w:p w14:paraId="31FB1B6A" w14:textId="77777777" w:rsidR="00CB4A5B" w:rsidRDefault="00000000">
      <w:pPr>
        <w:widowControl/>
        <w:spacing w:line="560" w:lineRule="exact"/>
        <w:ind w:firstLineChars="200" w:firstLine="593"/>
        <w:rPr>
          <w:rFonts w:ascii="仿宋" w:eastAsia="仿宋" w:hAnsi="仿宋" w:cs="仿宋"/>
          <w:szCs w:val="32"/>
        </w:rPr>
      </w:pPr>
      <w:r>
        <w:rPr>
          <w:rFonts w:ascii="仿宋" w:eastAsia="仿宋" w:hAnsi="仿宋" w:cs="Times New Roman" w:hint="eastAsia"/>
          <w:color w:val="000000"/>
          <w:kern w:val="0"/>
          <w:szCs w:val="32"/>
        </w:rPr>
        <w:lastRenderedPageBreak/>
        <w:t>场地租金按三个月为一期支付，</w:t>
      </w:r>
      <w:r>
        <w:rPr>
          <w:rFonts w:ascii="仿宋" w:eastAsia="仿宋" w:hAnsi="仿宋" w:cs="仿宋" w:hint="eastAsia"/>
          <w:szCs w:val="32"/>
        </w:rPr>
        <w:t>在下期租费</w:t>
      </w:r>
      <w:proofErr w:type="gramStart"/>
      <w:r>
        <w:rPr>
          <w:rFonts w:ascii="仿宋" w:eastAsia="仿宋" w:hAnsi="仿宋" w:cs="仿宋" w:hint="eastAsia"/>
          <w:szCs w:val="32"/>
        </w:rPr>
        <w:t>起算日前</w:t>
      </w:r>
      <w:proofErr w:type="gramEnd"/>
      <w:r>
        <w:rPr>
          <w:rFonts w:ascii="仿宋" w:eastAsia="仿宋" w:hAnsi="仿宋" w:cs="仿宋" w:hint="eastAsia"/>
          <w:szCs w:val="32"/>
        </w:rPr>
        <w:t>的五个工作日足额支付该期租金（首期租金除外）。</w:t>
      </w:r>
      <w:r>
        <w:rPr>
          <w:rFonts w:ascii="仿宋" w:eastAsia="仿宋" w:hAnsi="仿宋" w:cs="Times New Roman" w:hint="eastAsia"/>
          <w:color w:val="000000"/>
          <w:kern w:val="0"/>
          <w:szCs w:val="32"/>
        </w:rPr>
        <w:t>其中：变动租金按该租赁场所权责发生制下每月所有含税营业收入的10%计算，该金额</w:t>
      </w:r>
      <w:proofErr w:type="gramStart"/>
      <w:r>
        <w:rPr>
          <w:rFonts w:ascii="仿宋" w:eastAsia="仿宋" w:hAnsi="仿宋" w:cs="Times New Roman" w:hint="eastAsia"/>
          <w:color w:val="000000"/>
          <w:kern w:val="0"/>
          <w:szCs w:val="32"/>
        </w:rPr>
        <w:t>不</w:t>
      </w:r>
      <w:proofErr w:type="gramEnd"/>
      <w:r>
        <w:rPr>
          <w:rFonts w:ascii="仿宋" w:eastAsia="仿宋" w:hAnsi="仿宋" w:cs="Times New Roman" w:hint="eastAsia"/>
          <w:color w:val="000000"/>
          <w:kern w:val="0"/>
          <w:szCs w:val="32"/>
        </w:rPr>
        <w:t>扣减任何成本。每一交租期前，承租方将需缴纳月份的损益表加盖公章后发给</w:t>
      </w:r>
      <w:r>
        <w:rPr>
          <w:rFonts w:ascii="仿宋" w:eastAsia="仿宋" w:hAnsi="仿宋" w:cs="仿宋" w:hint="eastAsia"/>
          <w:szCs w:val="32"/>
        </w:rPr>
        <w:t>招租方</w:t>
      </w:r>
      <w:r>
        <w:rPr>
          <w:rFonts w:ascii="仿宋" w:eastAsia="仿宋" w:hAnsi="仿宋" w:cs="Times New Roman" w:hint="eastAsia"/>
          <w:color w:val="000000"/>
          <w:kern w:val="0"/>
          <w:szCs w:val="32"/>
        </w:rPr>
        <w:t>，并根据损益表计算的变动租金金额以转账的形式预支付给</w:t>
      </w:r>
      <w:r>
        <w:rPr>
          <w:rFonts w:ascii="仿宋" w:eastAsia="仿宋" w:hAnsi="仿宋" w:cs="仿宋" w:hint="eastAsia"/>
          <w:szCs w:val="32"/>
        </w:rPr>
        <w:t>招租方</w:t>
      </w:r>
      <w:r>
        <w:rPr>
          <w:rFonts w:ascii="仿宋" w:eastAsia="仿宋" w:hAnsi="仿宋" w:cs="Times New Roman" w:hint="eastAsia"/>
          <w:color w:val="000000"/>
          <w:kern w:val="0"/>
          <w:szCs w:val="32"/>
        </w:rPr>
        <w:t>。承租方在该租赁场所的含税营业收入以第三方审计机构（甲方指定）出具的专项审计报告为准，双方应于收到专项审计报告的三个工作日内确认最终含税营业收入金额。审计费用应进行市场询价，最终费用由双方各承担50%。</w:t>
      </w:r>
    </w:p>
    <w:p w14:paraId="095789F7"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8.保证金：人民币贰拾伍万元，其中合同保证金人民币壹拾伍万元，装修保证金人民币壹拾万元。</w:t>
      </w:r>
    </w:p>
    <w:p w14:paraId="7E547965"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9.竞租方式：公开挂网招租后在厦门顺承资产管理有限公司网上竞标管理系统采用网上公开竞价方式进行公开竞标。</w:t>
      </w:r>
    </w:p>
    <w:p w14:paraId="09C203C7"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10.竞标保证金：人民币</w:t>
      </w:r>
      <w:proofErr w:type="gramStart"/>
      <w:r>
        <w:rPr>
          <w:rFonts w:ascii="仿宋" w:eastAsia="仿宋" w:hAnsi="仿宋" w:cs="仿宋" w:hint="eastAsia"/>
          <w:szCs w:val="32"/>
        </w:rPr>
        <w:t>肆拾万</w:t>
      </w:r>
      <w:proofErr w:type="gramEnd"/>
      <w:r>
        <w:rPr>
          <w:rFonts w:ascii="仿宋" w:eastAsia="仿宋" w:hAnsi="仿宋" w:cs="仿宋" w:hint="eastAsia"/>
          <w:szCs w:val="32"/>
        </w:rPr>
        <w:t>元。由意向竞标人按规定向厦门顺承资产管理有限公司缴纳竞标保证金。未竞得人的竞标保证金在竞标结束后由厦门顺承资产管理有限公司退还。竞得人的竞标保证金由厦门顺承资产管理有限公司直接转入我司账户，合同签订后，自动转为《厦门嘉庚体育馆场地租赁合同》的保证金及第一笔租金，不足部分中标人应在签订《厦门嘉庚体育馆场地租赁合同》前补足。</w:t>
      </w:r>
    </w:p>
    <w:p w14:paraId="7317B0B2"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11.报价方式：本次招租以网上公开竞价的方式，由竞标人在厦门顺承资产管理有限公司</w:t>
      </w:r>
      <w:r>
        <w:rPr>
          <w:rFonts w:ascii="仿宋" w:eastAsia="仿宋" w:hAnsi="仿宋" w:cs="仿宋" w:hint="eastAsia"/>
          <w:szCs w:val="32"/>
          <w:shd w:val="clear" w:color="auto" w:fill="FFFFFF"/>
        </w:rPr>
        <w:t>网上竞标管理系统</w:t>
      </w:r>
      <w:r>
        <w:rPr>
          <w:rFonts w:ascii="仿宋" w:eastAsia="仿宋" w:hAnsi="仿宋" w:cs="仿宋" w:hint="eastAsia"/>
          <w:szCs w:val="32"/>
        </w:rPr>
        <w:t>在规定的竞价时间内参与竞标。</w:t>
      </w:r>
    </w:p>
    <w:p w14:paraId="6EE2A0D6"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12.竞价规则：竞标人必须符合本招租所列竞标人资格要求，</w:t>
      </w:r>
      <w:r>
        <w:rPr>
          <w:rFonts w:ascii="仿宋" w:eastAsia="仿宋" w:hAnsi="仿宋" w:cs="Times New Roman" w:hint="eastAsia"/>
          <w:color w:val="000000"/>
          <w:kern w:val="0"/>
          <w:szCs w:val="32"/>
        </w:rPr>
        <w:t>固定租金</w:t>
      </w:r>
      <w:r>
        <w:rPr>
          <w:rFonts w:ascii="仿宋" w:eastAsia="仿宋" w:hAnsi="仿宋" w:cs="仿宋" w:hint="eastAsia"/>
          <w:szCs w:val="32"/>
        </w:rPr>
        <w:t>竞价最高者成交。</w:t>
      </w:r>
    </w:p>
    <w:p w14:paraId="07411B78"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13.中标人须于中标后叁个工作日内与招标人签订《厦门嘉庚体育</w:t>
      </w:r>
      <w:r>
        <w:rPr>
          <w:rFonts w:ascii="仿宋" w:eastAsia="仿宋" w:hAnsi="仿宋" w:cs="仿宋" w:hint="eastAsia"/>
          <w:szCs w:val="32"/>
        </w:rPr>
        <w:lastRenderedPageBreak/>
        <w:t>馆场地租赁合同》，逾期未签合同，则视为中标人违约，招标人可没收竞标保证金，竞标标的另行招租。</w:t>
      </w:r>
    </w:p>
    <w:p w14:paraId="67C78975"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14.场地交付：合同签订后五个工作日内交付。</w:t>
      </w:r>
    </w:p>
    <w:p w14:paraId="6CF1368D" w14:textId="77777777" w:rsidR="00CB4A5B" w:rsidRDefault="00000000">
      <w:pPr>
        <w:spacing w:line="560" w:lineRule="exact"/>
        <w:ind w:firstLineChars="200" w:firstLine="596"/>
        <w:rPr>
          <w:rFonts w:ascii="仿宋" w:eastAsia="仿宋" w:hAnsi="仿宋" w:cs="仿宋"/>
          <w:b/>
          <w:bCs/>
          <w:szCs w:val="32"/>
        </w:rPr>
      </w:pPr>
      <w:r>
        <w:rPr>
          <w:rFonts w:ascii="仿宋" w:eastAsia="仿宋" w:hAnsi="仿宋" w:cs="仿宋" w:hint="eastAsia"/>
          <w:b/>
          <w:bCs/>
          <w:szCs w:val="32"/>
        </w:rPr>
        <w:t>三、竞标人资格要求</w:t>
      </w:r>
    </w:p>
    <w:p w14:paraId="7CC6B262"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1.竞标人需为中华人民共和国境内注册成立五年以上的，运营体育行业相关项目的企业法人，注册资金实缴需达人民币400万元（含）以上、上一年度营业收入1000万元以上（以第三方出具的审计报告营业收入数据为准）,纳税额100万元以上。</w:t>
      </w:r>
    </w:p>
    <w:p w14:paraId="6DB660D8"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2.竞标企业的运营团队或主要运营人员在福建省内至少运营过2个面积1000平方米以上（含）、运营期一年以上（含一年，计算时间从递交投标文件之日起倒推）的篮球体育运动类项目（</w:t>
      </w:r>
      <w:proofErr w:type="gramStart"/>
      <w:r>
        <w:rPr>
          <w:rFonts w:ascii="仿宋" w:eastAsia="仿宋" w:hAnsi="仿宋" w:cs="仿宋" w:hint="eastAsia"/>
          <w:szCs w:val="32"/>
        </w:rPr>
        <w:t>含正在</w:t>
      </w:r>
      <w:proofErr w:type="gramEnd"/>
      <w:r>
        <w:rPr>
          <w:rFonts w:ascii="仿宋" w:eastAsia="仿宋" w:hAnsi="仿宋" w:cs="仿宋" w:hint="eastAsia"/>
          <w:szCs w:val="32"/>
        </w:rPr>
        <w:t>经营的项目）。</w:t>
      </w:r>
    </w:p>
    <w:p w14:paraId="08AE396E" w14:textId="77777777" w:rsidR="00CB4A5B" w:rsidRDefault="00000000">
      <w:pPr>
        <w:spacing w:line="560" w:lineRule="exact"/>
        <w:ind w:firstLineChars="200" w:firstLine="593"/>
        <w:rPr>
          <w:rFonts w:ascii="仿宋" w:eastAsia="仿宋" w:hAnsi="仿宋" w:cs="仿宋"/>
          <w:szCs w:val="32"/>
        </w:rPr>
      </w:pPr>
      <w:r>
        <w:rPr>
          <w:rFonts w:ascii="仿宋" w:eastAsia="仿宋" w:hAnsi="仿宋" w:cs="仿宋" w:hint="eastAsia"/>
          <w:szCs w:val="32"/>
        </w:rPr>
        <w:t>3.竞标企业的企业法人或控股子公司（股权占比50%以上）具有政府相关主管部门审批的体育培训资质。</w:t>
      </w:r>
    </w:p>
    <w:p w14:paraId="1EDDE749" w14:textId="77777777" w:rsidR="00CB4A5B" w:rsidRDefault="00000000">
      <w:pPr>
        <w:widowControl/>
        <w:spacing w:line="560" w:lineRule="exact"/>
        <w:ind w:firstLineChars="200" w:firstLine="593"/>
        <w:rPr>
          <w:rFonts w:ascii="仿宋" w:eastAsia="仿宋" w:hAnsi="仿宋" w:cs="仿宋"/>
          <w:szCs w:val="32"/>
        </w:rPr>
      </w:pPr>
      <w:r>
        <w:rPr>
          <w:rFonts w:ascii="仿宋" w:eastAsia="仿宋" w:hAnsi="仿宋" w:cs="仿宋" w:hint="eastAsia"/>
          <w:szCs w:val="32"/>
        </w:rPr>
        <w:t>4.竞标人不得有恶意违约、拖欠租金或存在被司法机关判定为承担违约责任等情形。</w:t>
      </w:r>
    </w:p>
    <w:p w14:paraId="41FEA972" w14:textId="77777777" w:rsidR="00CB4A5B" w:rsidRDefault="00000000">
      <w:pPr>
        <w:widowControl/>
        <w:spacing w:line="560" w:lineRule="exact"/>
        <w:ind w:firstLineChars="200" w:firstLine="593"/>
        <w:rPr>
          <w:rFonts w:ascii="仿宋" w:eastAsia="仿宋" w:hAnsi="仿宋" w:cs="仿宋"/>
          <w:szCs w:val="32"/>
        </w:rPr>
      </w:pPr>
      <w:r>
        <w:rPr>
          <w:rFonts w:ascii="仿宋" w:eastAsia="仿宋" w:hAnsi="仿宋" w:cs="仿宋" w:hint="eastAsia"/>
          <w:szCs w:val="32"/>
        </w:rPr>
        <w:t>5.竞标企业无不良类和违约类征信信息（以中国裁判文书网、国家企业信用信息公示系统检索数据为准），不存在禁止参加投标的情形。</w:t>
      </w:r>
    </w:p>
    <w:p w14:paraId="61B750A8" w14:textId="77777777" w:rsidR="00CB4A5B" w:rsidRDefault="00000000">
      <w:pPr>
        <w:widowControl/>
        <w:spacing w:line="560" w:lineRule="exact"/>
        <w:ind w:firstLineChars="200" w:firstLine="593"/>
        <w:jc w:val="left"/>
        <w:rPr>
          <w:rFonts w:ascii="仿宋" w:eastAsia="仿宋" w:hAnsi="仿宋" w:cs="仿宋"/>
          <w:b/>
          <w:bCs/>
          <w:szCs w:val="32"/>
        </w:rPr>
      </w:pPr>
      <w:r>
        <w:rPr>
          <w:rFonts w:ascii="仿宋" w:eastAsia="仿宋" w:hAnsi="仿宋" w:cs="仿宋" w:hint="eastAsia"/>
          <w:szCs w:val="32"/>
        </w:rPr>
        <w:t>6.招租方不接受联合体投标。</w:t>
      </w:r>
    </w:p>
    <w:p w14:paraId="509E197E" w14:textId="77777777" w:rsidR="00CB4A5B" w:rsidRDefault="00000000">
      <w:pPr>
        <w:spacing w:line="560" w:lineRule="exact"/>
        <w:ind w:firstLineChars="200" w:firstLine="596"/>
        <w:jc w:val="left"/>
        <w:rPr>
          <w:rFonts w:ascii="仿宋" w:eastAsia="仿宋" w:hAnsi="仿宋" w:cs="仿宋"/>
          <w:b/>
          <w:bCs/>
          <w:szCs w:val="32"/>
        </w:rPr>
      </w:pPr>
      <w:r>
        <w:rPr>
          <w:rFonts w:ascii="仿宋" w:eastAsia="仿宋" w:hAnsi="仿宋" w:cs="仿宋" w:hint="eastAsia"/>
          <w:b/>
          <w:bCs/>
          <w:szCs w:val="32"/>
        </w:rPr>
        <w:t>备注：</w:t>
      </w:r>
    </w:p>
    <w:p w14:paraId="5C44D628" w14:textId="77777777" w:rsidR="00CB4A5B" w:rsidRDefault="00000000">
      <w:pPr>
        <w:spacing w:line="560" w:lineRule="exact"/>
        <w:ind w:firstLineChars="100" w:firstLine="297"/>
        <w:jc w:val="left"/>
        <w:rPr>
          <w:rFonts w:ascii="仿宋" w:eastAsia="仿宋" w:hAnsi="仿宋" w:cs="仿宋"/>
          <w:szCs w:val="32"/>
        </w:rPr>
      </w:pPr>
      <w:r>
        <w:rPr>
          <w:rFonts w:ascii="仿宋" w:eastAsia="仿宋" w:hAnsi="仿宋" w:cs="仿宋" w:hint="eastAsia"/>
          <w:szCs w:val="32"/>
        </w:rPr>
        <w:t xml:space="preserve">  竞标人在报名前须向招租方提供营业执照复印件、中国裁判</w:t>
      </w:r>
      <w:proofErr w:type="gramStart"/>
      <w:r>
        <w:rPr>
          <w:rFonts w:ascii="仿宋" w:eastAsia="仿宋" w:hAnsi="仿宋" w:cs="仿宋" w:hint="eastAsia"/>
          <w:szCs w:val="32"/>
        </w:rPr>
        <w:t>文书网</w:t>
      </w:r>
      <w:proofErr w:type="gramEnd"/>
      <w:r>
        <w:rPr>
          <w:rFonts w:ascii="仿宋" w:eastAsia="仿宋" w:hAnsi="仿宋" w:cs="仿宋" w:hint="eastAsia"/>
          <w:szCs w:val="32"/>
        </w:rPr>
        <w:t>检索数据信息、国家企业信用信息公示系统检索数据信息、竞标人资格承诺书及上述竞标人资格要求等证明材料（以上材料均加盖竞标企业公章）。</w:t>
      </w:r>
    </w:p>
    <w:p w14:paraId="57D89F23" w14:textId="77777777" w:rsidR="00CB4A5B" w:rsidRDefault="00CB4A5B">
      <w:pPr>
        <w:widowControl/>
        <w:spacing w:line="560" w:lineRule="exact"/>
        <w:ind w:firstLineChars="200" w:firstLine="593"/>
        <w:jc w:val="left"/>
        <w:rPr>
          <w:rFonts w:ascii="仿宋" w:eastAsia="仿宋" w:hAnsi="仿宋" w:cs="仿宋"/>
          <w:szCs w:val="32"/>
        </w:rPr>
      </w:pPr>
    </w:p>
    <w:sectPr w:rsidR="00CB4A5B">
      <w:footerReference w:type="default" r:id="rId7"/>
      <w:pgSz w:w="11906" w:h="16838"/>
      <w:pgMar w:top="1446" w:right="1463" w:bottom="1315" w:left="1463" w:header="851" w:footer="992" w:gutter="0"/>
      <w:cols w:space="720"/>
      <w:docGrid w:type="linesAndChars" w:linePitch="516" w:charSpace="-47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18142" w14:textId="77777777" w:rsidR="008A497F" w:rsidRDefault="008A497F">
      <w:r>
        <w:separator/>
      </w:r>
    </w:p>
  </w:endnote>
  <w:endnote w:type="continuationSeparator" w:id="0">
    <w:p w14:paraId="12816967" w14:textId="77777777" w:rsidR="008A497F" w:rsidRDefault="008A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D165B" w14:textId="77777777" w:rsidR="00CB4A5B" w:rsidRDefault="00000000">
    <w:pPr>
      <w:pStyle w:val="a8"/>
    </w:pPr>
    <w:r>
      <w:rPr>
        <w:noProof/>
      </w:rPr>
      <mc:AlternateContent>
        <mc:Choice Requires="wps">
          <w:drawing>
            <wp:anchor distT="0" distB="0" distL="114300" distR="114300" simplePos="0" relativeHeight="251659264" behindDoc="0" locked="0" layoutInCell="1" allowOverlap="1" wp14:anchorId="045761BE" wp14:editId="274D617C">
              <wp:simplePos x="0" y="0"/>
              <wp:positionH relativeFrom="margin">
                <wp:align>center</wp:align>
              </wp:positionH>
              <wp:positionV relativeFrom="paragraph">
                <wp:posOffset>0</wp:posOffset>
              </wp:positionV>
              <wp:extent cx="58420" cy="139700"/>
              <wp:effectExtent l="0" t="0" r="0" b="0"/>
              <wp:wrapNone/>
              <wp:docPr id="4097" name="文本框 1"/>
              <wp:cNvGraphicFramePr/>
              <a:graphic xmlns:a="http://schemas.openxmlformats.org/drawingml/2006/main">
                <a:graphicData uri="http://schemas.microsoft.com/office/word/2010/wordprocessingShape">
                  <wps:wsp>
                    <wps:cNvSpPr/>
                    <wps:spPr>
                      <a:xfrm>
                        <a:off x="0" y="0"/>
                        <a:ext cx="58420" cy="139700"/>
                      </a:xfrm>
                      <a:prstGeom prst="rect">
                        <a:avLst/>
                      </a:prstGeom>
                      <a:ln>
                        <a:noFill/>
                      </a:ln>
                    </wps:spPr>
                    <wps:txbx>
                      <w:txbxContent>
                        <w:p w14:paraId="5EA19302" w14:textId="77777777" w:rsidR="00CB4A5B"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vert="horz" wrap="none" lIns="0" tIns="0" rIns="0" bIns="0" anchor="t">
                      <a:spAutoFit/>
                    </wps:bodyPr>
                  </wps:wsp>
                </a:graphicData>
              </a:graphic>
            </wp:anchor>
          </w:drawing>
        </mc:Choice>
        <mc:Fallback>
          <w:pict>
            <v:rect w14:anchorId="045761BE" id="文本框 1" o:spid="_x0000_s1026"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" filled="f" stroked="f">
              <v:textbox style="mso-fit-shape-to-text:t" inset="0,0,0,0">
                <w:txbxContent>
                  <w:p w14:paraId="5EA19302" w14:textId="77777777" w:rsidR="00CB4A5B" w:rsidRDefault="00000000">
                    <w:pPr>
                      <w:pStyle w:val="a8"/>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76922" w14:textId="77777777" w:rsidR="008A497F" w:rsidRDefault="008A497F">
      <w:r>
        <w:separator/>
      </w:r>
    </w:p>
  </w:footnote>
  <w:footnote w:type="continuationSeparator" w:id="0">
    <w:p w14:paraId="0CDF52B4" w14:textId="77777777" w:rsidR="008A497F" w:rsidRDefault="008A49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420"/>
  <w:drawingGridHorizontalSpacing w:val="148"/>
  <w:drawingGridVerticalSpacing w:val="258"/>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5F1"/>
    <w:rsid w:val="0001066E"/>
    <w:rsid w:val="00022557"/>
    <w:rsid w:val="00027A0D"/>
    <w:rsid w:val="0003290F"/>
    <w:rsid w:val="00034C83"/>
    <w:rsid w:val="00070EE1"/>
    <w:rsid w:val="0007497B"/>
    <w:rsid w:val="000749C4"/>
    <w:rsid w:val="00081EA2"/>
    <w:rsid w:val="00082484"/>
    <w:rsid w:val="00090340"/>
    <w:rsid w:val="000A5FA4"/>
    <w:rsid w:val="000B1154"/>
    <w:rsid w:val="000D589A"/>
    <w:rsid w:val="000D69CE"/>
    <w:rsid w:val="000E5303"/>
    <w:rsid w:val="001122F8"/>
    <w:rsid w:val="001162BE"/>
    <w:rsid w:val="0012015E"/>
    <w:rsid w:val="001222AE"/>
    <w:rsid w:val="00122DB5"/>
    <w:rsid w:val="00137CE5"/>
    <w:rsid w:val="00145C3C"/>
    <w:rsid w:val="0019679D"/>
    <w:rsid w:val="001E2518"/>
    <w:rsid w:val="001E38D4"/>
    <w:rsid w:val="001F6695"/>
    <w:rsid w:val="001F6F2B"/>
    <w:rsid w:val="002120CF"/>
    <w:rsid w:val="00223C81"/>
    <w:rsid w:val="00231505"/>
    <w:rsid w:val="00232295"/>
    <w:rsid w:val="002610E3"/>
    <w:rsid w:val="002736F7"/>
    <w:rsid w:val="00276D69"/>
    <w:rsid w:val="0028257E"/>
    <w:rsid w:val="002A1259"/>
    <w:rsid w:val="002A15FE"/>
    <w:rsid w:val="002A1743"/>
    <w:rsid w:val="002B5053"/>
    <w:rsid w:val="002E0EB7"/>
    <w:rsid w:val="002F0D07"/>
    <w:rsid w:val="00303CA1"/>
    <w:rsid w:val="00307D8D"/>
    <w:rsid w:val="00312FE8"/>
    <w:rsid w:val="0031351C"/>
    <w:rsid w:val="00313BB5"/>
    <w:rsid w:val="003325F4"/>
    <w:rsid w:val="00350960"/>
    <w:rsid w:val="00363261"/>
    <w:rsid w:val="00365FD2"/>
    <w:rsid w:val="00387025"/>
    <w:rsid w:val="003A5F93"/>
    <w:rsid w:val="003B2390"/>
    <w:rsid w:val="003C4BDE"/>
    <w:rsid w:val="003D2C89"/>
    <w:rsid w:val="003F1077"/>
    <w:rsid w:val="003F3B9C"/>
    <w:rsid w:val="0040075D"/>
    <w:rsid w:val="00407AE1"/>
    <w:rsid w:val="004141F3"/>
    <w:rsid w:val="00432F4A"/>
    <w:rsid w:val="004349ED"/>
    <w:rsid w:val="004469B5"/>
    <w:rsid w:val="0047077C"/>
    <w:rsid w:val="004716FE"/>
    <w:rsid w:val="004A3549"/>
    <w:rsid w:val="004B5906"/>
    <w:rsid w:val="004C7282"/>
    <w:rsid w:val="004E19D7"/>
    <w:rsid w:val="004E41FF"/>
    <w:rsid w:val="004F17DB"/>
    <w:rsid w:val="00501842"/>
    <w:rsid w:val="00503171"/>
    <w:rsid w:val="005038D6"/>
    <w:rsid w:val="00507AD9"/>
    <w:rsid w:val="00516B54"/>
    <w:rsid w:val="005509E9"/>
    <w:rsid w:val="005640A6"/>
    <w:rsid w:val="00566A86"/>
    <w:rsid w:val="00572880"/>
    <w:rsid w:val="005808BD"/>
    <w:rsid w:val="005902D0"/>
    <w:rsid w:val="00591016"/>
    <w:rsid w:val="005A0CD2"/>
    <w:rsid w:val="005B49DE"/>
    <w:rsid w:val="005C5A77"/>
    <w:rsid w:val="005E042A"/>
    <w:rsid w:val="005E4778"/>
    <w:rsid w:val="005F0631"/>
    <w:rsid w:val="005F353E"/>
    <w:rsid w:val="00606452"/>
    <w:rsid w:val="00611EBA"/>
    <w:rsid w:val="006203F1"/>
    <w:rsid w:val="00627E6B"/>
    <w:rsid w:val="00631416"/>
    <w:rsid w:val="00657C00"/>
    <w:rsid w:val="006720E4"/>
    <w:rsid w:val="006B6CEC"/>
    <w:rsid w:val="006C3077"/>
    <w:rsid w:val="006D1210"/>
    <w:rsid w:val="006D240B"/>
    <w:rsid w:val="006E4060"/>
    <w:rsid w:val="00730A5C"/>
    <w:rsid w:val="00735269"/>
    <w:rsid w:val="00745D8B"/>
    <w:rsid w:val="007560E8"/>
    <w:rsid w:val="00760B35"/>
    <w:rsid w:val="0078448B"/>
    <w:rsid w:val="00796B3B"/>
    <w:rsid w:val="007A2058"/>
    <w:rsid w:val="007A2F4B"/>
    <w:rsid w:val="007A7B6C"/>
    <w:rsid w:val="007B32FA"/>
    <w:rsid w:val="007B5D21"/>
    <w:rsid w:val="007C6CCA"/>
    <w:rsid w:val="007D6CD3"/>
    <w:rsid w:val="007E2719"/>
    <w:rsid w:val="007F34AE"/>
    <w:rsid w:val="007F5F01"/>
    <w:rsid w:val="00802D2A"/>
    <w:rsid w:val="008206BC"/>
    <w:rsid w:val="008346CB"/>
    <w:rsid w:val="00842263"/>
    <w:rsid w:val="0084577F"/>
    <w:rsid w:val="00863D78"/>
    <w:rsid w:val="00872DF6"/>
    <w:rsid w:val="00875E5C"/>
    <w:rsid w:val="008770EF"/>
    <w:rsid w:val="00887338"/>
    <w:rsid w:val="008A497F"/>
    <w:rsid w:val="008C3F0B"/>
    <w:rsid w:val="00901AA5"/>
    <w:rsid w:val="009028D8"/>
    <w:rsid w:val="00904EFD"/>
    <w:rsid w:val="009065DD"/>
    <w:rsid w:val="0092789E"/>
    <w:rsid w:val="0093083D"/>
    <w:rsid w:val="00937FD6"/>
    <w:rsid w:val="009401B5"/>
    <w:rsid w:val="00975D78"/>
    <w:rsid w:val="00981EEF"/>
    <w:rsid w:val="00992980"/>
    <w:rsid w:val="009B1E2B"/>
    <w:rsid w:val="009D1003"/>
    <w:rsid w:val="009D44F7"/>
    <w:rsid w:val="00A10993"/>
    <w:rsid w:val="00A3166A"/>
    <w:rsid w:val="00A64BDC"/>
    <w:rsid w:val="00A64C09"/>
    <w:rsid w:val="00A8561B"/>
    <w:rsid w:val="00AC5E10"/>
    <w:rsid w:val="00AC7B1B"/>
    <w:rsid w:val="00AD30F5"/>
    <w:rsid w:val="00AD4328"/>
    <w:rsid w:val="00AE0576"/>
    <w:rsid w:val="00AE2945"/>
    <w:rsid w:val="00AE734A"/>
    <w:rsid w:val="00AF4B33"/>
    <w:rsid w:val="00B10894"/>
    <w:rsid w:val="00B1153F"/>
    <w:rsid w:val="00B331A3"/>
    <w:rsid w:val="00B40BF0"/>
    <w:rsid w:val="00B452DA"/>
    <w:rsid w:val="00B521D4"/>
    <w:rsid w:val="00B645B4"/>
    <w:rsid w:val="00B929E1"/>
    <w:rsid w:val="00BA3C5F"/>
    <w:rsid w:val="00BA537D"/>
    <w:rsid w:val="00BB2E2D"/>
    <w:rsid w:val="00BC33C4"/>
    <w:rsid w:val="00BC454E"/>
    <w:rsid w:val="00BC5E37"/>
    <w:rsid w:val="00BE1287"/>
    <w:rsid w:val="00BF3F8B"/>
    <w:rsid w:val="00BF49D1"/>
    <w:rsid w:val="00BF65F1"/>
    <w:rsid w:val="00C12CAE"/>
    <w:rsid w:val="00C3196A"/>
    <w:rsid w:val="00C51D43"/>
    <w:rsid w:val="00C54280"/>
    <w:rsid w:val="00C6045A"/>
    <w:rsid w:val="00C64F89"/>
    <w:rsid w:val="00C77F9B"/>
    <w:rsid w:val="00C90486"/>
    <w:rsid w:val="00C945E1"/>
    <w:rsid w:val="00CB4A5B"/>
    <w:rsid w:val="00CC035A"/>
    <w:rsid w:val="00CC7249"/>
    <w:rsid w:val="00CD30F6"/>
    <w:rsid w:val="00CD3CAF"/>
    <w:rsid w:val="00CD54A0"/>
    <w:rsid w:val="00CE1B6C"/>
    <w:rsid w:val="00D0627B"/>
    <w:rsid w:val="00D10E32"/>
    <w:rsid w:val="00D10EBE"/>
    <w:rsid w:val="00D17E4A"/>
    <w:rsid w:val="00D23412"/>
    <w:rsid w:val="00D31D63"/>
    <w:rsid w:val="00D41AC5"/>
    <w:rsid w:val="00D71152"/>
    <w:rsid w:val="00D74A13"/>
    <w:rsid w:val="00D96AD6"/>
    <w:rsid w:val="00DD5E10"/>
    <w:rsid w:val="00DE3966"/>
    <w:rsid w:val="00E225B1"/>
    <w:rsid w:val="00E3513F"/>
    <w:rsid w:val="00E40B0C"/>
    <w:rsid w:val="00E539AE"/>
    <w:rsid w:val="00E77985"/>
    <w:rsid w:val="00E876A8"/>
    <w:rsid w:val="00EC46BE"/>
    <w:rsid w:val="00EC6D19"/>
    <w:rsid w:val="00ED4FB9"/>
    <w:rsid w:val="00ED792C"/>
    <w:rsid w:val="00EF5618"/>
    <w:rsid w:val="00F1267A"/>
    <w:rsid w:val="00F133DC"/>
    <w:rsid w:val="00F13F48"/>
    <w:rsid w:val="00F16F62"/>
    <w:rsid w:val="00F20A2A"/>
    <w:rsid w:val="00F27F49"/>
    <w:rsid w:val="00F406D0"/>
    <w:rsid w:val="00F47C76"/>
    <w:rsid w:val="00F5661E"/>
    <w:rsid w:val="00F71B35"/>
    <w:rsid w:val="00F7493E"/>
    <w:rsid w:val="00FA2F09"/>
    <w:rsid w:val="00FA661A"/>
    <w:rsid w:val="00FB023E"/>
    <w:rsid w:val="00FB5416"/>
    <w:rsid w:val="00FB6AD8"/>
    <w:rsid w:val="00FB6D5A"/>
    <w:rsid w:val="00FC2F1E"/>
    <w:rsid w:val="00FD0707"/>
    <w:rsid w:val="00FF01D1"/>
    <w:rsid w:val="011078C7"/>
    <w:rsid w:val="011847D1"/>
    <w:rsid w:val="01302E9C"/>
    <w:rsid w:val="01647FE9"/>
    <w:rsid w:val="0193708B"/>
    <w:rsid w:val="0368154B"/>
    <w:rsid w:val="04B61473"/>
    <w:rsid w:val="05AF0831"/>
    <w:rsid w:val="064B6406"/>
    <w:rsid w:val="076947AF"/>
    <w:rsid w:val="07955760"/>
    <w:rsid w:val="084F5D32"/>
    <w:rsid w:val="08517089"/>
    <w:rsid w:val="08D64A3C"/>
    <w:rsid w:val="098F2D7E"/>
    <w:rsid w:val="09B57EA2"/>
    <w:rsid w:val="0A596768"/>
    <w:rsid w:val="0A5F67DD"/>
    <w:rsid w:val="0B3E7F80"/>
    <w:rsid w:val="0BA55D9D"/>
    <w:rsid w:val="0BD1446F"/>
    <w:rsid w:val="0BEA301F"/>
    <w:rsid w:val="0BF13851"/>
    <w:rsid w:val="0C4D4692"/>
    <w:rsid w:val="0DC06C54"/>
    <w:rsid w:val="0E397A9C"/>
    <w:rsid w:val="10873437"/>
    <w:rsid w:val="11456DC5"/>
    <w:rsid w:val="12CC49BD"/>
    <w:rsid w:val="134578A4"/>
    <w:rsid w:val="13A534DE"/>
    <w:rsid w:val="15035E7C"/>
    <w:rsid w:val="1574621E"/>
    <w:rsid w:val="164B3CA4"/>
    <w:rsid w:val="16AF4EBE"/>
    <w:rsid w:val="174F244F"/>
    <w:rsid w:val="17C47518"/>
    <w:rsid w:val="182F0C6A"/>
    <w:rsid w:val="183620A9"/>
    <w:rsid w:val="19AE79AF"/>
    <w:rsid w:val="19EB03CD"/>
    <w:rsid w:val="1A0F2388"/>
    <w:rsid w:val="1B5631BF"/>
    <w:rsid w:val="1C085913"/>
    <w:rsid w:val="1D181B85"/>
    <w:rsid w:val="1EFE489A"/>
    <w:rsid w:val="1FA92F69"/>
    <w:rsid w:val="20814187"/>
    <w:rsid w:val="216E35B9"/>
    <w:rsid w:val="2172410F"/>
    <w:rsid w:val="219E7A2D"/>
    <w:rsid w:val="21A674E0"/>
    <w:rsid w:val="22B87FB1"/>
    <w:rsid w:val="23D6492D"/>
    <w:rsid w:val="23DB1EC6"/>
    <w:rsid w:val="23EC20E8"/>
    <w:rsid w:val="25B86B99"/>
    <w:rsid w:val="26B80A64"/>
    <w:rsid w:val="281B4504"/>
    <w:rsid w:val="28507E35"/>
    <w:rsid w:val="288D127D"/>
    <w:rsid w:val="292C7358"/>
    <w:rsid w:val="29B526E7"/>
    <w:rsid w:val="29C72969"/>
    <w:rsid w:val="2A197AB3"/>
    <w:rsid w:val="2A9C1AB3"/>
    <w:rsid w:val="2AB466DA"/>
    <w:rsid w:val="2B96013F"/>
    <w:rsid w:val="2DCA21E7"/>
    <w:rsid w:val="2ECE71D8"/>
    <w:rsid w:val="2EE668B6"/>
    <w:rsid w:val="2F174C2D"/>
    <w:rsid w:val="2F636EA3"/>
    <w:rsid w:val="2F643CE8"/>
    <w:rsid w:val="2FD65EA0"/>
    <w:rsid w:val="33627A71"/>
    <w:rsid w:val="33DE25A0"/>
    <w:rsid w:val="343637A9"/>
    <w:rsid w:val="34764D3E"/>
    <w:rsid w:val="351D1969"/>
    <w:rsid w:val="35D1016F"/>
    <w:rsid w:val="361B6AE2"/>
    <w:rsid w:val="36467503"/>
    <w:rsid w:val="3B1C50FB"/>
    <w:rsid w:val="3BE178BA"/>
    <w:rsid w:val="3C074958"/>
    <w:rsid w:val="3C8D0F7A"/>
    <w:rsid w:val="3CB90837"/>
    <w:rsid w:val="3D281519"/>
    <w:rsid w:val="3D3A5A49"/>
    <w:rsid w:val="3D8824BE"/>
    <w:rsid w:val="405A0B6B"/>
    <w:rsid w:val="40CE0D07"/>
    <w:rsid w:val="42F70E3C"/>
    <w:rsid w:val="4349423E"/>
    <w:rsid w:val="43965ED3"/>
    <w:rsid w:val="43BB3FFA"/>
    <w:rsid w:val="44E92AF9"/>
    <w:rsid w:val="44F6342F"/>
    <w:rsid w:val="478A1D81"/>
    <w:rsid w:val="48315726"/>
    <w:rsid w:val="4A4D7458"/>
    <w:rsid w:val="4B232109"/>
    <w:rsid w:val="4BC67090"/>
    <w:rsid w:val="4C043151"/>
    <w:rsid w:val="4C4A1B0C"/>
    <w:rsid w:val="4C820F6E"/>
    <w:rsid w:val="4E334F13"/>
    <w:rsid w:val="4F474E50"/>
    <w:rsid w:val="4F5A45E6"/>
    <w:rsid w:val="4FE04F24"/>
    <w:rsid w:val="4FFA6D45"/>
    <w:rsid w:val="50434597"/>
    <w:rsid w:val="50AE211C"/>
    <w:rsid w:val="510C1282"/>
    <w:rsid w:val="51646436"/>
    <w:rsid w:val="52697F6C"/>
    <w:rsid w:val="52AB07CA"/>
    <w:rsid w:val="53737F08"/>
    <w:rsid w:val="53BD2563"/>
    <w:rsid w:val="549D6CE0"/>
    <w:rsid w:val="54E00B47"/>
    <w:rsid w:val="554F4F9C"/>
    <w:rsid w:val="56B33B16"/>
    <w:rsid w:val="56E735DD"/>
    <w:rsid w:val="58193820"/>
    <w:rsid w:val="588F2E09"/>
    <w:rsid w:val="58ED0C84"/>
    <w:rsid w:val="597D43CB"/>
    <w:rsid w:val="59BD215D"/>
    <w:rsid w:val="5A9A7E6C"/>
    <w:rsid w:val="5C14566D"/>
    <w:rsid w:val="5D096819"/>
    <w:rsid w:val="5D266C5A"/>
    <w:rsid w:val="5DA74330"/>
    <w:rsid w:val="6094289E"/>
    <w:rsid w:val="60DE2C82"/>
    <w:rsid w:val="61075560"/>
    <w:rsid w:val="61571040"/>
    <w:rsid w:val="62BC0C89"/>
    <w:rsid w:val="62D961A9"/>
    <w:rsid w:val="641F795B"/>
    <w:rsid w:val="64704A10"/>
    <w:rsid w:val="667A77F2"/>
    <w:rsid w:val="669746A6"/>
    <w:rsid w:val="669C2253"/>
    <w:rsid w:val="66F97F7F"/>
    <w:rsid w:val="673F5C51"/>
    <w:rsid w:val="68CE27FE"/>
    <w:rsid w:val="6A4E16E0"/>
    <w:rsid w:val="6CBD6E6C"/>
    <w:rsid w:val="6CE60925"/>
    <w:rsid w:val="6D1F1741"/>
    <w:rsid w:val="6E1611E3"/>
    <w:rsid w:val="6F2229BE"/>
    <w:rsid w:val="710A2FDF"/>
    <w:rsid w:val="71E20A6F"/>
    <w:rsid w:val="72180E61"/>
    <w:rsid w:val="72AB210A"/>
    <w:rsid w:val="72EE7572"/>
    <w:rsid w:val="74605CED"/>
    <w:rsid w:val="747D292A"/>
    <w:rsid w:val="74DD43BC"/>
    <w:rsid w:val="75611919"/>
    <w:rsid w:val="75B6775D"/>
    <w:rsid w:val="75ED594F"/>
    <w:rsid w:val="75EE2DA7"/>
    <w:rsid w:val="76F53C44"/>
    <w:rsid w:val="773943D2"/>
    <w:rsid w:val="77A504EB"/>
    <w:rsid w:val="78866B18"/>
    <w:rsid w:val="788D5697"/>
    <w:rsid w:val="78D83D0A"/>
    <w:rsid w:val="79722435"/>
    <w:rsid w:val="79740A53"/>
    <w:rsid w:val="7B884475"/>
    <w:rsid w:val="7BFB5787"/>
    <w:rsid w:val="7C0B01F2"/>
    <w:rsid w:val="7D551C9D"/>
    <w:rsid w:val="7E8B6222"/>
    <w:rsid w:val="7EB77FD4"/>
    <w:rsid w:val="7F5B2AAD"/>
    <w:rsid w:val="7F8521CB"/>
    <w:rsid w:val="7FEC2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6F1C"/>
  <w15:docId w15:val="{550232E0-0615-4FD3-8013-3DB72092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Definition" w:semiHidden="1" w:unhideWhenUsed="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cs="宋体"/>
      <w:kern w:val="2"/>
      <w:sz w:val="3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a"/>
    <w:qFormat/>
    <w:pPr>
      <w:widowControl/>
      <w:spacing w:before="25" w:after="25"/>
      <w:jc w:val="left"/>
    </w:pPr>
    <w:rPr>
      <w:rFonts w:ascii="Times" w:hAnsi="Times"/>
      <w:bCs/>
      <w:spacing w:val="10"/>
      <w:kern w:val="0"/>
      <w:sz w:val="24"/>
      <w:szCs w:val="20"/>
    </w:rPr>
  </w:style>
  <w:style w:type="paragraph" w:styleId="a4">
    <w:name w:val="annotation text"/>
    <w:basedOn w:val="a"/>
    <w:link w:val="a5"/>
    <w:qFormat/>
    <w:pPr>
      <w:jc w:val="left"/>
    </w:pPr>
  </w:style>
  <w:style w:type="paragraph" w:styleId="a6">
    <w:name w:val="Balloon Text"/>
    <w:basedOn w:val="a"/>
    <w:link w:val="a7"/>
    <w:uiPriority w:val="99"/>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ad">
    <w:name w:val="annotation subject"/>
    <w:basedOn w:val="a4"/>
    <w:next w:val="a4"/>
    <w:link w:val="ae"/>
    <w:qFormat/>
    <w:rPr>
      <w:b/>
      <w:bCs/>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rFonts w:cs="Times New Roman"/>
      <w:b/>
      <w:bCs/>
    </w:rPr>
  </w:style>
  <w:style w:type="character" w:styleId="af1">
    <w:name w:val="annotation reference"/>
    <w:qFormat/>
    <w:rPr>
      <w:sz w:val="21"/>
      <w:szCs w:val="21"/>
    </w:rPr>
  </w:style>
  <w:style w:type="character" w:customStyle="1" w:styleId="a7">
    <w:name w:val="批注框文本 字符"/>
    <w:link w:val="a6"/>
    <w:uiPriority w:val="99"/>
    <w:qFormat/>
    <w:rPr>
      <w:sz w:val="18"/>
      <w:szCs w:val="18"/>
    </w:rPr>
  </w:style>
  <w:style w:type="character" w:customStyle="1" w:styleId="ab">
    <w:name w:val="页眉 字符"/>
    <w:link w:val="aa"/>
    <w:uiPriority w:val="99"/>
    <w:qFormat/>
    <w:rPr>
      <w:sz w:val="18"/>
      <w:szCs w:val="18"/>
    </w:rPr>
  </w:style>
  <w:style w:type="character" w:customStyle="1" w:styleId="a9">
    <w:name w:val="页脚 字符"/>
    <w:link w:val="a8"/>
    <w:uiPriority w:val="99"/>
    <w:qFormat/>
    <w:rPr>
      <w:sz w:val="18"/>
      <w:szCs w:val="18"/>
    </w:rPr>
  </w:style>
  <w:style w:type="character" w:customStyle="1" w:styleId="a5">
    <w:name w:val="批注文字 字符"/>
    <w:link w:val="a4"/>
    <w:qFormat/>
    <w:rPr>
      <w:rFonts w:ascii="Calibri" w:hAnsi="Calibri" w:cs="宋体"/>
      <w:kern w:val="2"/>
      <w:sz w:val="32"/>
      <w:szCs w:val="22"/>
    </w:rPr>
  </w:style>
  <w:style w:type="character" w:customStyle="1" w:styleId="ae">
    <w:name w:val="批注主题 字符"/>
    <w:link w:val="ad"/>
    <w:qFormat/>
    <w:rPr>
      <w:rFonts w:ascii="Calibri" w:hAnsi="Calibri" w:cs="宋体"/>
      <w:b/>
      <w:bCs/>
      <w:kern w:val="2"/>
      <w:sz w:val="32"/>
      <w:szCs w:val="22"/>
    </w:rPr>
  </w:style>
  <w:style w:type="character" w:customStyle="1" w:styleId="Char">
    <w:name w:val="页眉 Char"/>
    <w:uiPriority w:val="99"/>
    <w:qFormat/>
    <w:rPr>
      <w:sz w:val="18"/>
      <w:szCs w:val="18"/>
    </w:rPr>
  </w:style>
  <w:style w:type="character" w:customStyle="1" w:styleId="Char0">
    <w:name w:val="页脚 Char"/>
    <w:uiPriority w:val="99"/>
    <w:qFormat/>
    <w:rPr>
      <w:sz w:val="18"/>
      <w:szCs w:val="18"/>
    </w:rPr>
  </w:style>
  <w:style w:type="character" w:customStyle="1" w:styleId="Char1">
    <w:name w:val="批注框文本 Char"/>
    <w:uiPriority w:val="99"/>
    <w:qFormat/>
    <w:rPr>
      <w:sz w:val="18"/>
      <w:szCs w:val="18"/>
    </w:rPr>
  </w:style>
  <w:style w:type="paragraph" w:customStyle="1" w:styleId="1">
    <w:name w:val="修订1"/>
    <w:hidden/>
    <w:uiPriority w:val="99"/>
    <w:unhideWhenUsed/>
    <w:qFormat/>
    <w:rPr>
      <w:rFonts w:cs="宋体"/>
      <w:kern w:val="2"/>
      <w:sz w:val="32"/>
      <w:szCs w:val="22"/>
    </w:rPr>
  </w:style>
  <w:style w:type="paragraph" w:styleId="af2">
    <w:name w:val="Revision"/>
    <w:hidden/>
    <w:uiPriority w:val="99"/>
    <w:unhideWhenUsed/>
    <w:rsid w:val="00F5661E"/>
    <w:rPr>
      <w:rFonts w:cs="宋体"/>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gmkg</cp:lastModifiedBy>
  <cp:revision>7</cp:revision>
  <cp:lastPrinted>2019-09-11T01:33:00Z</cp:lastPrinted>
  <dcterms:created xsi:type="dcterms:W3CDTF">2020-01-10T08:51:00Z</dcterms:created>
  <dcterms:modified xsi:type="dcterms:W3CDTF">2024-06-03T02:10:00Z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04EC7EE7702A45A5A41BA041DA0F0D6D</vt:lpwstr>
  </property>
</Properties>
</file>