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0" w:line="276" w:lineRule="auto"/>
        <w:rPr>
          <w:rFonts w:ascii="仿宋_GB2312" w:hAnsi="宋体" w:eastAsia="仿宋_GB2312" w:cs="仿宋_GB2312"/>
          <w:b/>
          <w:color w:val="000000"/>
          <w:sz w:val="32"/>
          <w:szCs w:val="24"/>
        </w:rPr>
      </w:pPr>
    </w:p>
    <w:p>
      <w:pPr>
        <w:spacing w:before="90" w:line="276" w:lineRule="auto"/>
        <w:rPr>
          <w:rFonts w:ascii="仿宋_GB2312" w:hAnsi="宋体" w:eastAsia="仿宋_GB2312" w:cs="仿宋_GB2312"/>
          <w:b/>
          <w:color w:val="000000"/>
          <w:sz w:val="32"/>
          <w:szCs w:val="24"/>
        </w:rPr>
      </w:pPr>
    </w:p>
    <w:p>
      <w:pPr>
        <w:spacing w:before="90" w:line="276" w:lineRule="auto"/>
        <w:jc w:val="center"/>
        <w:rPr>
          <w:rFonts w:ascii="仿宋_GB2312" w:hAnsi="宋体" w:eastAsia="仿宋_GB2312" w:cs="仿宋_GB2312"/>
          <w:b/>
          <w:color w:val="000000"/>
          <w:sz w:val="28"/>
          <w:szCs w:val="28"/>
        </w:rPr>
      </w:pPr>
      <w:r>
        <w:rPr>
          <w:rFonts w:hint="eastAsia" w:ascii="仿宋_GB2312" w:hAnsi="宋体" w:eastAsia="仿宋_GB2312" w:cs="仿宋_GB2312"/>
          <w:b/>
          <w:color w:val="000000"/>
          <w:sz w:val="32"/>
          <w:szCs w:val="24"/>
        </w:rPr>
        <w:t>安全责任书</w:t>
      </w:r>
    </w:p>
    <w:p>
      <w:pPr>
        <w:adjustRightInd w:val="0"/>
        <w:snapToGrid w:val="0"/>
        <w:spacing w:line="420" w:lineRule="exact"/>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甲方（出租方）：</w:t>
      </w:r>
    </w:p>
    <w:p>
      <w:pPr>
        <w:adjustRightInd w:val="0"/>
        <w:snapToGrid w:val="0"/>
        <w:spacing w:line="420" w:lineRule="exact"/>
        <w:rPr>
          <w:rFonts w:ascii="仿宋_GB2312" w:hAnsi="Times New Roman" w:eastAsia="仿宋_GB2312"/>
          <w:sz w:val="28"/>
          <w:szCs w:val="28"/>
        </w:rPr>
      </w:pPr>
      <w:r>
        <w:rPr>
          <w:rFonts w:hint="eastAsia" w:ascii="仿宋_GB2312" w:hAnsi="宋体" w:eastAsia="仿宋_GB2312" w:cs="仿宋_GB2312"/>
          <w:sz w:val="28"/>
          <w:szCs w:val="28"/>
        </w:rPr>
        <w:t>乙方（承租方）：</w:t>
      </w:r>
    </w:p>
    <w:p>
      <w:pPr>
        <w:adjustRightInd w:val="0"/>
        <w:snapToGrid w:val="0"/>
        <w:spacing w:line="420" w:lineRule="exact"/>
        <w:ind w:firstLine="560" w:firstLineChars="200"/>
        <w:rPr>
          <w:rFonts w:ascii="仿宋_GB2312" w:hAnsi="宋体" w:eastAsia="仿宋_GB2312" w:cs="仿宋_GB2312"/>
          <w:color w:val="000000"/>
          <w:sz w:val="28"/>
          <w:szCs w:val="28"/>
          <w:u w:val="single"/>
        </w:rPr>
      </w:pPr>
      <w:r>
        <w:rPr>
          <w:rFonts w:hint="eastAsia" w:ascii="仿宋_GB2312" w:hAnsi="宋体" w:eastAsia="仿宋_GB2312" w:cs="仿宋_GB2312"/>
          <w:color w:val="000000"/>
          <w:sz w:val="28"/>
          <w:szCs w:val="28"/>
        </w:rPr>
        <w:t>根据《中华人民共和国消防法》、《福建省消防条例》等法律法规和有关规定，为进一步加强租赁房屋的安全管理工作，最大限度地减少各类事故的发生，双方特订立以下治安、安全管理责任书，作为双方签订的房屋租赁合同</w:t>
      </w:r>
      <w:r>
        <w:rPr>
          <w:rFonts w:ascii="仿宋_GB2312" w:hAnsi="宋体" w:eastAsia="仿宋_GB2312" w:cs="仿宋_GB2312"/>
          <w:color w:val="000000"/>
          <w:sz w:val="28"/>
          <w:szCs w:val="28"/>
        </w:rPr>
        <w:t>(</w:t>
      </w:r>
      <w:r>
        <w:rPr>
          <w:rFonts w:hint="eastAsia" w:ascii="仿宋_GB2312" w:hAnsi="宋体" w:eastAsia="仿宋_GB2312" w:cs="仿宋_GB2312"/>
          <w:color w:val="000000"/>
          <w:sz w:val="28"/>
          <w:szCs w:val="28"/>
        </w:rPr>
        <w:t>编号：</w:t>
      </w:r>
      <w:r>
        <w:rPr>
          <w:rFonts w:ascii="仿宋_GB2312" w:hAnsi="宋体" w:eastAsia="仿宋_GB2312" w:cs="仿宋_GB2312"/>
          <w:color w:val="000000"/>
          <w:sz w:val="28"/>
          <w:szCs w:val="28"/>
        </w:rPr>
        <w:t>)</w:t>
      </w:r>
      <w:r>
        <w:rPr>
          <w:rFonts w:hint="eastAsia" w:ascii="仿宋_GB2312" w:hAnsi="宋体" w:eastAsia="仿宋_GB2312" w:cs="仿宋_GB2312"/>
          <w:color w:val="000000"/>
          <w:sz w:val="28"/>
          <w:szCs w:val="28"/>
        </w:rPr>
        <w:t>的附件，以明确双方的权利义务。</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一、责任目标</w:t>
      </w:r>
      <w:bookmarkStart w:id="0" w:name="_GoBack"/>
      <w:bookmarkEnd w:id="0"/>
    </w:p>
    <w:p>
      <w:pPr>
        <w:adjustRightInd w:val="0"/>
        <w:snapToGrid w:val="0"/>
        <w:spacing w:line="420" w:lineRule="exact"/>
        <w:ind w:firstLine="560" w:firstLineChars="2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乙方应将承租房屋场所</w:t>
      </w:r>
      <w:r>
        <w:rPr>
          <w:rFonts w:hint="eastAsia" w:ascii="宋体" w:hAnsi="宋体" w:cs="宋体"/>
          <w:color w:val="000000"/>
          <w:sz w:val="28"/>
          <w:szCs w:val="28"/>
        </w:rPr>
        <w:t>(</w:t>
      </w:r>
      <w:r>
        <w:rPr>
          <w:rFonts w:hint="eastAsia" w:ascii="仿宋_GB2312" w:hAnsi="宋体" w:eastAsia="仿宋_GB2312" w:cs="仿宋_GB2312"/>
          <w:color w:val="000000"/>
          <w:sz w:val="28"/>
          <w:szCs w:val="28"/>
        </w:rPr>
        <w:t>1</w:t>
      </w:r>
      <w:r>
        <w:rPr>
          <w:rFonts w:hint="eastAsia" w:ascii="仿宋_GB2312" w:hAnsi="宋体" w:eastAsia="仿宋_GB2312" w:cs="仿宋_GB2312"/>
          <w:color w:val="000000"/>
          <w:sz w:val="28"/>
          <w:szCs w:val="28"/>
          <w:lang w:val="en-US" w:eastAsia="zh-CN"/>
        </w:rPr>
        <w:t>0</w:t>
      </w:r>
      <w:r>
        <w:rPr>
          <w:rFonts w:hint="eastAsia" w:ascii="仿宋_GB2312" w:hAnsi="宋体" w:eastAsia="仿宋_GB2312" w:cs="仿宋_GB2312"/>
          <w:color w:val="000000"/>
          <w:sz w:val="28"/>
          <w:szCs w:val="28"/>
        </w:rPr>
        <w:t>号楼一层</w:t>
      </w:r>
      <w:r>
        <w:rPr>
          <w:rFonts w:hint="eastAsia" w:ascii="仿宋_GB2312" w:hAnsi="宋体" w:eastAsia="仿宋_GB2312" w:cs="仿宋_GB2312"/>
          <w:color w:val="000000"/>
          <w:sz w:val="28"/>
          <w:szCs w:val="28"/>
          <w:lang w:val="en-US" w:eastAsia="zh-CN"/>
        </w:rPr>
        <w:t>西侧</w:t>
      </w:r>
      <w:r>
        <w:rPr>
          <w:rFonts w:hint="eastAsia" w:ascii="宋体" w:hAnsi="宋体" w:cs="宋体"/>
          <w:color w:val="000000"/>
          <w:sz w:val="28"/>
          <w:szCs w:val="28"/>
        </w:rPr>
        <w:t>、</w:t>
      </w:r>
      <w:r>
        <w:rPr>
          <w:rFonts w:hint="eastAsia" w:ascii="宋体" w:hAnsi="宋体" w:cs="宋体"/>
          <w:color w:val="000000"/>
          <w:sz w:val="28"/>
          <w:szCs w:val="28"/>
          <w:lang w:val="en-US" w:eastAsia="zh-CN"/>
        </w:rPr>
        <w:t>六</w:t>
      </w:r>
      <w:r>
        <w:rPr>
          <w:rFonts w:hint="eastAsia" w:ascii="仿宋_GB2312" w:hAnsi="宋体" w:eastAsia="仿宋_GB2312" w:cs="仿宋_GB2312"/>
          <w:color w:val="000000"/>
          <w:sz w:val="28"/>
          <w:szCs w:val="28"/>
        </w:rPr>
        <w:t>层</w:t>
      </w:r>
      <w:r>
        <w:rPr>
          <w:rFonts w:hint="eastAsia" w:ascii="仿宋_GB2312" w:hAnsi="宋体" w:eastAsia="仿宋_GB2312" w:cs="仿宋_GB2312"/>
          <w:color w:val="000000"/>
          <w:sz w:val="28"/>
          <w:szCs w:val="28"/>
          <w:lang w:val="en-US" w:eastAsia="zh-CN"/>
        </w:rPr>
        <w:t>整层</w:t>
      </w:r>
      <w:r>
        <w:rPr>
          <w:rFonts w:hint="eastAsia" w:ascii="仿宋_GB2312" w:hAnsi="宋体" w:eastAsia="仿宋_GB2312" w:cs="仿宋_GB2312"/>
          <w:color w:val="000000"/>
          <w:sz w:val="28"/>
          <w:szCs w:val="28"/>
        </w:rPr>
        <w:t>,总面积</w:t>
      </w:r>
      <w:r>
        <w:rPr>
          <w:rFonts w:hint="eastAsia" w:ascii="仿宋_GB2312" w:hAnsi="宋体" w:eastAsia="仿宋_GB2312" w:cs="仿宋_GB2312"/>
          <w:color w:val="000000"/>
          <w:sz w:val="28"/>
          <w:szCs w:val="28"/>
          <w:lang w:val="en-US" w:eastAsia="zh-CN"/>
        </w:rPr>
        <w:t>2122.95</w:t>
      </w:r>
      <w:r>
        <w:rPr>
          <w:rFonts w:hint="eastAsia" w:ascii="仿宋_GB2312" w:hAnsi="宋体" w:eastAsia="仿宋_GB2312" w:cs="仿宋_GB2312"/>
          <w:color w:val="000000"/>
          <w:sz w:val="28"/>
          <w:szCs w:val="28"/>
        </w:rPr>
        <w:t>平方米</w:t>
      </w:r>
      <w:r>
        <w:rPr>
          <w:rFonts w:hint="eastAsia" w:ascii="宋体" w:hAnsi="宋体" w:cs="宋体"/>
          <w:color w:val="000000"/>
          <w:sz w:val="28"/>
          <w:szCs w:val="28"/>
        </w:rPr>
        <w:t>)</w:t>
      </w:r>
      <w:r>
        <w:rPr>
          <w:rFonts w:hint="eastAsia" w:ascii="仿宋_GB2312" w:hAnsi="宋体" w:eastAsia="仿宋_GB2312" w:cs="仿宋_GB2312"/>
          <w:color w:val="000000"/>
          <w:sz w:val="28"/>
          <w:szCs w:val="28"/>
        </w:rPr>
        <w:t>的安全管理纳入工作范围，通过设立必要的岗位、人员负责该房屋场所的安全管理工作以及制定相应的安全管理制度，确保该房屋场所的消防安全和良好治安秩序。</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、伤亡事故：确保本场所使用物业区域内无因安全管理问题导致的人员死亡及重伤事故出现。</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、消防考核指标：（</w:t>
      </w: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w:t>
      </w:r>
      <w:r>
        <w:rPr>
          <w:rFonts w:hint="eastAsia" w:ascii="仿宋_GB2312" w:hAnsi="宋体" w:eastAsia="仿宋_GB2312" w:cs="仿宋_GB2312"/>
          <w:sz w:val="28"/>
          <w:szCs w:val="28"/>
        </w:rPr>
        <w:t>本场所“</w:t>
      </w:r>
      <w:r>
        <w:rPr>
          <w:rFonts w:hint="eastAsia" w:ascii="仿宋_GB2312" w:hAnsi="宋体" w:eastAsia="仿宋_GB2312" w:cs="仿宋_GB2312"/>
          <w:color w:val="000000"/>
          <w:sz w:val="28"/>
          <w:szCs w:val="28"/>
        </w:rPr>
        <w:t>三合一”整治率达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（“三合一”含义：住宿与生产、仓储、经营一种或一种以上使用功能违章混合设置在同一建筑空间内。其中该同一建筑空间可以是一独立建筑或建筑中的一部分）；（</w:t>
      </w: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）专、兼职防火员配备率达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）消防设施配备、完好率达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）禁止在本场地使用物业区域内使用明火。</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、安全管理指标：逐级签订责任书率达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、创安工作指标：（</w:t>
      </w: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）应开展创安活动；（</w:t>
      </w: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）各类隐患整改率达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二、甲方权利和义务：</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、负责安全管理工作的督促落实；</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、贯彻“安全第一，预防为主”的方针；</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、定期组织安全检查：对安全设备、设施进行维护；对不落实安全管理进行纠正，对落实不到位的现象督促完善；对发现的安全管理隐患及时发出整改通知书，并督促整改。</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三、乙方权利和义务：</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、乙方是该房屋场所的安全责任人，全面负责本租赁物业区域内的办公场所及经营活动的安全管理工作，同时指定专人负责日常消防安全管理工作，进行经常性安全检查，及时消除各种安全隐患；</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、与公安消防部门、甲方密切配合，做好防火、防盗、防破坏、防治安事故等工作；</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、应当自觉遵守消防法律、法规，学习防火、灭火和火灾逃生常识，安全用电；</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、疏散走道、疏散楼梯、安全出口应保持畅通无阻；</w:t>
      </w:r>
      <w:r>
        <w:rPr>
          <w:rFonts w:hint="eastAsia" w:ascii="仿宋_GB2312" w:hAnsi="Times New Roman" w:eastAsia="仿宋_GB2312" w:cs="宋体"/>
          <w:sz w:val="28"/>
          <w:szCs w:val="28"/>
        </w:rPr>
        <w:t>不得在该房屋场所混合设置“三合一”场所</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5</w:t>
      </w:r>
      <w:r>
        <w:rPr>
          <w:rFonts w:hint="eastAsia" w:ascii="仿宋_GB2312" w:hAnsi="宋体" w:eastAsia="仿宋_GB2312" w:cs="仿宋_GB2312"/>
          <w:color w:val="000000"/>
          <w:sz w:val="28"/>
          <w:szCs w:val="28"/>
        </w:rPr>
        <w:t>、不得私自乱拉乱接电器线路；不准使用“三无”电器；无人办公时应及时关闭自用的电源；</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6</w:t>
      </w:r>
      <w:r>
        <w:rPr>
          <w:rFonts w:hint="eastAsia" w:ascii="仿宋_GB2312" w:hAnsi="宋体" w:eastAsia="仿宋_GB2312" w:cs="仿宋_GB2312"/>
          <w:color w:val="000000"/>
          <w:sz w:val="28"/>
          <w:szCs w:val="28"/>
        </w:rPr>
        <w:t>、房屋装修禁止采用易燃材料，并遵守甲方的装修规定；</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7</w:t>
      </w:r>
      <w:r>
        <w:rPr>
          <w:rFonts w:hint="eastAsia" w:ascii="仿宋_GB2312" w:hAnsi="宋体" w:eastAsia="仿宋_GB2312" w:cs="仿宋_GB2312"/>
          <w:color w:val="000000"/>
          <w:sz w:val="28"/>
          <w:szCs w:val="28"/>
        </w:rPr>
        <w:t>、严格遵守物业管理有关消防、治安、安全管理的规定；</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8</w:t>
      </w:r>
      <w:r>
        <w:rPr>
          <w:rFonts w:hint="eastAsia" w:ascii="仿宋_GB2312" w:hAnsi="宋体" w:eastAsia="仿宋_GB2312" w:cs="仿宋_GB2312"/>
          <w:color w:val="000000"/>
          <w:sz w:val="28"/>
          <w:szCs w:val="28"/>
        </w:rPr>
        <w:t>、配合甲方制定消防和应急疏散预案并参加消防演练，接受甲方的安全检查，无条件服从甲方对安全管理的合理要求；</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9</w:t>
      </w:r>
      <w:r>
        <w:rPr>
          <w:rFonts w:hint="eastAsia" w:ascii="仿宋_GB2312" w:hAnsi="宋体" w:eastAsia="仿宋_GB2312" w:cs="仿宋_GB2312"/>
          <w:color w:val="000000"/>
          <w:sz w:val="28"/>
          <w:szCs w:val="28"/>
        </w:rPr>
        <w:t>、租赁期间，因乙方违反有关消防安全管理法律、法规，或对消防安全管理不力，或违章操作（使用）等发生事故或案件，应由乙方负全部责任，因此造成的一切损失及费用，均由乙方承担。</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四、其他约定事项</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、如发生争议，可向甲方所在地有管辖权的人民法院起诉。</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、本责任书一式贰份，双方各执壹份，自签订之日起生效。</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、本责任书为房屋租赁合同的附件，本责任书未约定事项，按照房屋租赁合同的相关约定执行。</w:t>
      </w:r>
    </w:p>
    <w:p>
      <w:pPr>
        <w:adjustRightInd w:val="0"/>
        <w:snapToGrid w:val="0"/>
        <w:spacing w:line="420" w:lineRule="exact"/>
        <w:ind w:firstLine="560" w:firstLineChars="200"/>
        <w:rPr>
          <w:rFonts w:ascii="仿宋_GB2312" w:hAnsi="Times New Roman" w:eastAsia="仿宋_GB2312"/>
          <w:color w:val="000000"/>
          <w:sz w:val="28"/>
          <w:szCs w:val="28"/>
        </w:rPr>
      </w:pPr>
    </w:p>
    <w:p>
      <w:pPr>
        <w:adjustRightInd w:val="0"/>
        <w:snapToGrid w:val="0"/>
        <w:spacing w:line="420" w:lineRule="exact"/>
        <w:ind w:firstLine="840" w:firstLineChars="3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 xml:space="preserve">甲方： </w:t>
      </w:r>
      <w:r>
        <w:rPr>
          <w:rFonts w:ascii="仿宋_GB2312" w:hAnsi="宋体" w:eastAsia="仿宋_GB2312" w:cs="仿宋_GB2312"/>
          <w:color w:val="000000"/>
          <w:sz w:val="28"/>
          <w:szCs w:val="28"/>
        </w:rPr>
        <w:t xml:space="preserve">                          </w:t>
      </w:r>
      <w:r>
        <w:rPr>
          <w:rFonts w:hint="eastAsia" w:ascii="仿宋_GB2312" w:hAnsi="宋体" w:eastAsia="仿宋_GB2312" w:cs="仿宋_GB2312"/>
          <w:color w:val="000000"/>
          <w:sz w:val="28"/>
          <w:szCs w:val="28"/>
        </w:rPr>
        <w:t>乙方：</w:t>
      </w:r>
    </w:p>
    <w:p>
      <w:pPr>
        <w:adjustRightInd w:val="0"/>
        <w:snapToGrid w:val="0"/>
        <w:spacing w:line="420" w:lineRule="exact"/>
        <w:ind w:firstLine="840" w:firstLineChars="300"/>
        <w:rPr>
          <w:rFonts w:ascii="仿宋_GB2312" w:hAnsi="Times New Roman" w:eastAsia="仿宋_GB2312"/>
          <w:color w:val="000000"/>
          <w:sz w:val="28"/>
          <w:szCs w:val="28"/>
        </w:rPr>
      </w:pPr>
    </w:p>
    <w:p>
      <w:pPr>
        <w:adjustRightInd w:val="0"/>
        <w:snapToGrid w:val="0"/>
        <w:spacing w:line="420" w:lineRule="exact"/>
        <w:ind w:firstLine="840" w:firstLineChars="3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 xml:space="preserve">代表： </w:t>
      </w:r>
      <w:r>
        <w:rPr>
          <w:rFonts w:ascii="仿宋_GB2312" w:hAnsi="宋体" w:eastAsia="仿宋_GB2312" w:cs="仿宋_GB2312"/>
          <w:color w:val="000000"/>
          <w:sz w:val="28"/>
          <w:szCs w:val="28"/>
        </w:rPr>
        <w:t xml:space="preserve">                          </w:t>
      </w:r>
      <w:r>
        <w:rPr>
          <w:rFonts w:hint="eastAsia" w:ascii="仿宋_GB2312" w:hAnsi="宋体" w:eastAsia="仿宋_GB2312" w:cs="仿宋_GB2312"/>
          <w:color w:val="000000"/>
          <w:sz w:val="28"/>
          <w:szCs w:val="28"/>
        </w:rPr>
        <w:t>代表：</w:t>
      </w:r>
    </w:p>
    <w:p>
      <w:pPr>
        <w:adjustRightInd w:val="0"/>
        <w:snapToGrid w:val="0"/>
        <w:spacing w:line="420" w:lineRule="exact"/>
        <w:ind w:firstLine="2520" w:firstLineChars="900"/>
        <w:rPr>
          <w:rFonts w:ascii="仿宋_GB2312" w:hAnsi="Times New Roman" w:eastAsia="仿宋_GB2312"/>
          <w:color w:val="000000"/>
          <w:sz w:val="28"/>
          <w:szCs w:val="28"/>
        </w:rPr>
      </w:pPr>
    </w:p>
    <w:p>
      <w:pPr>
        <w:adjustRightInd w:val="0"/>
        <w:snapToGrid w:val="0"/>
        <w:spacing w:line="420" w:lineRule="exact"/>
        <w:jc w:val="center"/>
        <w:rPr>
          <w:rFonts w:ascii="仿宋_GB2312" w:hAnsi="宋体" w:eastAsia="仿宋_GB2312" w:cs="仿宋_GB2312"/>
          <w:color w:val="000000" w:themeColor="text1"/>
          <w:sz w:val="28"/>
          <w:szCs w:val="28"/>
          <w14:textFill>
            <w14:solidFill>
              <w14:schemeClr w14:val="tx1"/>
            </w14:solidFill>
          </w14:textFill>
        </w:rPr>
      </w:pPr>
      <w:r>
        <w:rPr>
          <w:rFonts w:hint="eastAsia" w:ascii="仿宋_GB2312" w:hAnsi="宋体" w:eastAsia="仿宋_GB2312" w:cs="仿宋_GB2312"/>
          <w:color w:val="000000" w:themeColor="text1"/>
          <w:sz w:val="28"/>
          <w:szCs w:val="28"/>
          <w14:textFill>
            <w14:solidFill>
              <w14:schemeClr w14:val="tx1"/>
            </w14:solidFill>
          </w14:textFill>
        </w:rPr>
        <w:t>签订日期：</w:t>
      </w:r>
      <w:r>
        <w:rPr>
          <w:rFonts w:ascii="仿宋_GB2312" w:hAnsi="宋体" w:eastAsia="仿宋_GB2312" w:cs="仿宋_GB2312"/>
          <w:color w:val="000000" w:themeColor="text1"/>
          <w:sz w:val="28"/>
          <w:szCs w:val="28"/>
          <w14:textFill>
            <w14:solidFill>
              <w14:schemeClr w14:val="tx1"/>
            </w14:solidFill>
          </w14:textFill>
        </w:rPr>
        <w:t xml:space="preserve">  </w:t>
      </w:r>
      <w:r>
        <w:rPr>
          <w:rFonts w:ascii="仿宋_GB2312" w:hAnsi="宋体" w:eastAsia="仿宋_GB2312" w:cs="仿宋_GB2312"/>
          <w:color w:val="000000" w:themeColor="text1"/>
          <w:sz w:val="28"/>
          <w:szCs w:val="28"/>
          <w:u w:val="single"/>
          <w14:textFill>
            <w14:solidFill>
              <w14:schemeClr w14:val="tx1"/>
            </w14:solidFill>
          </w14:textFill>
        </w:rPr>
        <w:t xml:space="preserve">     </w:t>
      </w:r>
      <w:r>
        <w:rPr>
          <w:rFonts w:hint="eastAsia" w:ascii="仿宋_GB2312" w:hAnsi="宋体" w:eastAsia="仿宋_GB2312" w:cs="仿宋_GB2312"/>
          <w:color w:val="000000" w:themeColor="text1"/>
          <w:sz w:val="28"/>
          <w:szCs w:val="28"/>
          <w:u w:val="single"/>
          <w14:textFill>
            <w14:solidFill>
              <w14:schemeClr w14:val="tx1"/>
            </w14:solidFill>
          </w14:textFill>
        </w:rPr>
        <w:t xml:space="preserve">年 </w:t>
      </w:r>
      <w:r>
        <w:rPr>
          <w:rFonts w:ascii="仿宋_GB2312" w:hAnsi="宋体" w:eastAsia="仿宋_GB2312" w:cs="仿宋_GB2312"/>
          <w:color w:val="000000" w:themeColor="text1"/>
          <w:sz w:val="28"/>
          <w:szCs w:val="28"/>
          <w:u w:val="single"/>
          <w14:textFill>
            <w14:solidFill>
              <w14:schemeClr w14:val="tx1"/>
            </w14:solidFill>
          </w14:textFill>
        </w:rPr>
        <w:t xml:space="preserve">   </w:t>
      </w:r>
      <w:r>
        <w:rPr>
          <w:rFonts w:hint="eastAsia" w:ascii="仿宋_GB2312" w:hAnsi="宋体" w:eastAsia="仿宋_GB2312" w:cs="仿宋_GB2312"/>
          <w:color w:val="000000" w:themeColor="text1"/>
          <w:sz w:val="28"/>
          <w:szCs w:val="28"/>
          <w:u w:val="single"/>
          <w14:textFill>
            <w14:solidFill>
              <w14:schemeClr w14:val="tx1"/>
            </w14:solidFill>
          </w14:textFill>
        </w:rPr>
        <w:t>月  日</w:t>
      </w:r>
    </w:p>
    <w:p>
      <w:pPr>
        <w:adjustRightInd w:val="0"/>
        <w:snapToGrid w:val="0"/>
        <w:spacing w:line="420" w:lineRule="exact"/>
        <w:rPr>
          <w:rFonts w:ascii="仿宋" w:hAnsi="仿宋" w:eastAsia="仿宋" w:cs="仿宋_GB2312"/>
          <w:b/>
          <w:color w:val="000000" w:themeColor="text1"/>
          <w:sz w:val="28"/>
          <w:szCs w:val="28"/>
          <w14:textFill>
            <w14:solidFill>
              <w14:schemeClr w14:val="tx1"/>
            </w14:solidFill>
          </w14:textFill>
        </w:rPr>
      </w:pPr>
    </w:p>
    <w:p>
      <w:pPr>
        <w:adjustRightInd w:val="0"/>
        <w:snapToGrid w:val="0"/>
        <w:spacing w:line="420" w:lineRule="exact"/>
        <w:rPr>
          <w:rFonts w:ascii="仿宋" w:hAnsi="仿宋" w:eastAsia="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51859"/>
    <w:rsid w:val="00653ABA"/>
    <w:rsid w:val="00CA06DB"/>
    <w:rsid w:val="00EC0E11"/>
    <w:rsid w:val="06474604"/>
    <w:rsid w:val="0C2041AF"/>
    <w:rsid w:val="221077C7"/>
    <w:rsid w:val="2FCF6626"/>
    <w:rsid w:val="4A051859"/>
    <w:rsid w:val="53FE4318"/>
    <w:rsid w:val="6DBE0BF4"/>
    <w:rsid w:val="79D96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197</Words>
  <Characters>1125</Characters>
  <Lines>9</Lines>
  <Paragraphs>2</Paragraphs>
  <TotalTime>5</TotalTime>
  <ScaleCrop>false</ScaleCrop>
  <LinksUpToDate>false</LinksUpToDate>
  <CharactersWithSpaces>1320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2023-04-21T08:09:00Z</dcterms:created>
  <dc:creator>Administrator</dc:creator>
  <cp:lastModifiedBy>Administrator</cp:lastModifiedBy>
  <dcterms:modified xsi:type="dcterms:W3CDTF">2023-11-22T00:27:50Z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