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26432">
      <w:pPr>
        <w:spacing w:before="1200" w:after="0"/>
        <w:jc w:val="center"/>
        <w:rPr>
          <w:sz w:val="44"/>
          <w:szCs w:val="44"/>
        </w:rPr>
      </w:pPr>
      <w:r>
        <w:rPr>
          <w:rFonts w:ascii="Times New Roman" w:hAnsi="Times New Roman" w:eastAsia="黑体" w:cs="Times New Roman"/>
          <w:b/>
          <w:bCs/>
          <w:sz w:val="44"/>
          <w:szCs w:val="44"/>
        </w:rPr>
        <w:t>厦门国贸控股集团有限公司</w:t>
      </w:r>
    </w:p>
    <w:p w14:paraId="184C0D24">
      <w:pPr>
        <w:spacing w:before="200" w:after="0"/>
        <w:jc w:val="center"/>
        <w:rPr>
          <w:sz w:val="52"/>
          <w:szCs w:val="52"/>
        </w:rPr>
      </w:pPr>
      <w:r>
        <w:rPr>
          <w:rFonts w:ascii="Times New Roman" w:hAnsi="Times New Roman" w:eastAsia="黑体" w:cs="Times New Roman"/>
          <w:b/>
          <w:bCs/>
          <w:sz w:val="52"/>
          <w:szCs w:val="52"/>
        </w:rPr>
        <w:t>公开采购书</w:t>
      </w:r>
    </w:p>
    <w:p w14:paraId="25077D77">
      <w:pPr>
        <w:spacing w:before="900" w:after="0"/>
        <w:jc w:val="center"/>
      </w:pPr>
      <w:r>
        <w:rPr>
          <w:rFonts w:ascii="Times New Roman" w:hAnsi="Times New Roman" w:eastAsia="宋体" w:cs="Times New Roman"/>
          <w:sz w:val="26"/>
          <w:szCs w:val="26"/>
        </w:rPr>
        <w:t>项目名称：厦门国贸控股集团有限公司注册发行可续期公司债承销商选聘</w:t>
      </w:r>
    </w:p>
    <w:p w14:paraId="6DFD2611">
      <w:pPr>
        <w:spacing w:before="120" w:after="0"/>
        <w:jc w:val="center"/>
      </w:pPr>
      <w:r>
        <w:rPr>
          <w:rFonts w:ascii="Times New Roman" w:hAnsi="Times New Roman" w:eastAsia="宋体" w:cs="Times New Roman"/>
          <w:sz w:val="26"/>
          <w:szCs w:val="26"/>
        </w:rPr>
        <w:t>项目编号：GMKGGKCG20260827</w:t>
      </w:r>
    </w:p>
    <w:p w14:paraId="3A778323">
      <w:pPr>
        <w:spacing w:before="1500" w:after="0"/>
        <w:jc w:val="center"/>
      </w:pPr>
      <w:r>
        <w:rPr>
          <w:rFonts w:ascii="Times New Roman" w:hAnsi="Times New Roman" w:eastAsia="宋体" w:cs="Times New Roman"/>
          <w:sz w:val="26"/>
          <w:szCs w:val="26"/>
        </w:rPr>
        <w:t xml:space="preserve">2026 年 </w:t>
      </w:r>
      <w:r>
        <w:rPr>
          <w:rFonts w:hint="eastAsia" w:cs="Times New Roman"/>
          <w:sz w:val="26"/>
          <w:szCs w:val="26"/>
          <w:lang w:val="en-US" w:eastAsia="zh-CN"/>
        </w:rPr>
        <w:t>9</w:t>
      </w:r>
      <w:r>
        <w:rPr>
          <w:rFonts w:ascii="Times New Roman" w:hAnsi="Times New Roman" w:eastAsia="宋体" w:cs="Times New Roman"/>
          <w:sz w:val="26"/>
          <w:szCs w:val="26"/>
        </w:rPr>
        <w:t xml:space="preserve"> 月</w:t>
      </w:r>
    </w:p>
    <w:p w14:paraId="31B8BEC0">
      <w:r>
        <w:br w:type="page"/>
      </w:r>
    </w:p>
    <w:p w14:paraId="031F5BC8">
      <w:pPr>
        <w:spacing w:after="200"/>
        <w:jc w:val="center"/>
      </w:pPr>
      <w:r>
        <w:rPr>
          <w:rFonts w:ascii="Times New Roman" w:hAnsi="Times New Roman" w:eastAsia="黑体" w:cs="Times New Roman"/>
          <w:b/>
          <w:bCs/>
          <w:sz w:val="32"/>
          <w:szCs w:val="32"/>
        </w:rPr>
        <w:t>目  录</w:t>
      </w:r>
    </w:p>
    <w:sdt>
      <w:sdtPr>
        <w:alias w:val="目录"/>
        <w:id w:val="147454850"/>
      </w:sdtPr>
      <w:sdtContent>
        <w:p w14:paraId="3345836E">
          <w:pPr>
            <w:rPr>
              <w:rFonts w:ascii="Times New Roman" w:hAnsi="Times New Roman" w:eastAsia="宋体" w:cs="Times New Roman"/>
              <w:sz w:val="24"/>
              <w:szCs w:val="24"/>
            </w:rPr>
          </w:pPr>
          <w:r>
            <w:fldChar w:fldCharType="begin"/>
          </w:r>
          <w:r>
            <w:instrText xml:space="preserve">TOC \h \o "1-1"</w:instrText>
          </w:r>
          <w:r>
            <w:fldChar w:fldCharType="separate"/>
          </w:r>
        </w:p>
        <w:p w14:paraId="6F9E296E">
          <w:pPr>
            <w:pStyle w:val="9"/>
            <w:tabs>
              <w:tab w:val="right" w:leader="dot" w:pos="9026"/>
            </w:tabs>
          </w:pPr>
          <w:r>
            <w:fldChar w:fldCharType="begin"/>
          </w:r>
          <w:r>
            <w:instrText xml:space="preserve"> HYPERLINK \l _Toc10641 </w:instrText>
          </w:r>
          <w:r>
            <w:fldChar w:fldCharType="separate"/>
          </w:r>
          <w:r>
            <w:rPr>
              <w:rFonts w:ascii="Times New Roman" w:hAnsi="Times New Roman" w:eastAsia="黑体" w:cs="Times New Roman"/>
              <w:bCs/>
              <w:szCs w:val="30"/>
            </w:rPr>
            <w:t>1. 报名须知</w:t>
          </w:r>
          <w:r>
            <w:tab/>
          </w:r>
          <w:r>
            <w:fldChar w:fldCharType="begin"/>
          </w:r>
          <w:r>
            <w:instrText xml:space="preserve"> PAGEREF _Toc10641 \h </w:instrText>
          </w:r>
          <w:r>
            <w:fldChar w:fldCharType="separate"/>
          </w:r>
          <w:r>
            <w:t>3</w:t>
          </w:r>
          <w:r>
            <w:fldChar w:fldCharType="end"/>
          </w:r>
          <w:r>
            <w:fldChar w:fldCharType="end"/>
          </w:r>
        </w:p>
        <w:p w14:paraId="2CDD844C">
          <w:pPr>
            <w:pStyle w:val="9"/>
            <w:tabs>
              <w:tab w:val="right" w:leader="dot" w:pos="9026"/>
            </w:tabs>
          </w:pPr>
          <w:r>
            <w:fldChar w:fldCharType="begin"/>
          </w:r>
          <w:r>
            <w:instrText xml:space="preserve"> HYPERLINK \l _Toc16948 </w:instrText>
          </w:r>
          <w:r>
            <w:fldChar w:fldCharType="separate"/>
          </w:r>
          <w:r>
            <w:rPr>
              <w:rFonts w:ascii="Times New Roman" w:hAnsi="Times New Roman" w:eastAsia="黑体" w:cs="Times New Roman"/>
              <w:bCs/>
              <w:szCs w:val="30"/>
            </w:rPr>
            <w:t>1.1 适用范围及合格的报名人要求</w:t>
          </w:r>
          <w:r>
            <w:tab/>
          </w:r>
          <w:r>
            <w:fldChar w:fldCharType="begin"/>
          </w:r>
          <w:r>
            <w:instrText xml:space="preserve"> PAGEREF _Toc16948 \h </w:instrText>
          </w:r>
          <w:r>
            <w:fldChar w:fldCharType="separate"/>
          </w:r>
          <w:r>
            <w:t>3</w:t>
          </w:r>
          <w:r>
            <w:fldChar w:fldCharType="end"/>
          </w:r>
          <w:r>
            <w:fldChar w:fldCharType="end"/>
          </w:r>
        </w:p>
        <w:p w14:paraId="5F8AEB78">
          <w:pPr>
            <w:pStyle w:val="9"/>
            <w:tabs>
              <w:tab w:val="right" w:leader="dot" w:pos="9026"/>
            </w:tabs>
          </w:pPr>
          <w:r>
            <w:fldChar w:fldCharType="begin"/>
          </w:r>
          <w:r>
            <w:instrText xml:space="preserve"> HYPERLINK \l _Toc9843 </w:instrText>
          </w:r>
          <w:r>
            <w:fldChar w:fldCharType="separate"/>
          </w:r>
          <w:r>
            <w:rPr>
              <w:rFonts w:ascii="Times New Roman" w:hAnsi="Times New Roman" w:eastAsia="黑体" w:cs="Times New Roman"/>
              <w:bCs/>
              <w:szCs w:val="30"/>
            </w:rPr>
            <w:t>1.2 公开采购项目内容</w:t>
          </w:r>
          <w:r>
            <w:tab/>
          </w:r>
          <w:r>
            <w:fldChar w:fldCharType="begin"/>
          </w:r>
          <w:r>
            <w:instrText xml:space="preserve"> PAGEREF _Toc9843 \h </w:instrText>
          </w:r>
          <w:r>
            <w:fldChar w:fldCharType="separate"/>
          </w:r>
          <w:r>
            <w:t>3</w:t>
          </w:r>
          <w:r>
            <w:fldChar w:fldCharType="end"/>
          </w:r>
          <w:r>
            <w:fldChar w:fldCharType="end"/>
          </w:r>
        </w:p>
        <w:p w14:paraId="5665F164">
          <w:pPr>
            <w:pStyle w:val="9"/>
            <w:tabs>
              <w:tab w:val="right" w:leader="dot" w:pos="9026"/>
            </w:tabs>
          </w:pPr>
          <w:r>
            <w:fldChar w:fldCharType="begin"/>
          </w:r>
          <w:r>
            <w:instrText xml:space="preserve"> HYPERLINK \l _Toc11892 </w:instrText>
          </w:r>
          <w:r>
            <w:fldChar w:fldCharType="separate"/>
          </w:r>
          <w:r>
            <w:rPr>
              <w:rFonts w:ascii="Times New Roman" w:hAnsi="Times New Roman" w:eastAsia="黑体" w:cs="Times New Roman"/>
              <w:bCs/>
              <w:szCs w:val="30"/>
            </w:rPr>
            <w:t>1.3 公开采购说明</w:t>
          </w:r>
          <w:r>
            <w:tab/>
          </w:r>
          <w:r>
            <w:fldChar w:fldCharType="begin"/>
          </w:r>
          <w:r>
            <w:instrText xml:space="preserve"> PAGEREF _Toc11892 \h </w:instrText>
          </w:r>
          <w:r>
            <w:fldChar w:fldCharType="separate"/>
          </w:r>
          <w:r>
            <w:t>3</w:t>
          </w:r>
          <w:r>
            <w:fldChar w:fldCharType="end"/>
          </w:r>
          <w:r>
            <w:fldChar w:fldCharType="end"/>
          </w:r>
        </w:p>
        <w:p w14:paraId="077FA312">
          <w:pPr>
            <w:pStyle w:val="9"/>
            <w:tabs>
              <w:tab w:val="right" w:leader="dot" w:pos="9026"/>
            </w:tabs>
          </w:pPr>
          <w:r>
            <w:fldChar w:fldCharType="begin"/>
          </w:r>
          <w:r>
            <w:instrText xml:space="preserve"> HYPERLINK \l _Toc31399 </w:instrText>
          </w:r>
          <w:r>
            <w:fldChar w:fldCharType="separate"/>
          </w:r>
          <w:r>
            <w:rPr>
              <w:rFonts w:ascii="Times New Roman" w:hAnsi="Times New Roman" w:eastAsia="黑体" w:cs="Times New Roman"/>
              <w:bCs/>
              <w:szCs w:val="30"/>
            </w:rPr>
            <w:t>1.4 报名文件与包装</w:t>
          </w:r>
          <w:r>
            <w:tab/>
          </w:r>
          <w:r>
            <w:fldChar w:fldCharType="begin"/>
          </w:r>
          <w:r>
            <w:instrText xml:space="preserve"> PAGEREF _Toc31399 \h </w:instrText>
          </w:r>
          <w:r>
            <w:fldChar w:fldCharType="separate"/>
          </w:r>
          <w:r>
            <w:t>4</w:t>
          </w:r>
          <w:r>
            <w:fldChar w:fldCharType="end"/>
          </w:r>
          <w:r>
            <w:fldChar w:fldCharType="end"/>
          </w:r>
        </w:p>
        <w:p w14:paraId="2BCE0027">
          <w:pPr>
            <w:pStyle w:val="9"/>
            <w:tabs>
              <w:tab w:val="right" w:leader="dot" w:pos="9026"/>
            </w:tabs>
          </w:pPr>
          <w:r>
            <w:fldChar w:fldCharType="begin"/>
          </w:r>
          <w:r>
            <w:instrText xml:space="preserve"> HYPERLINK \l _Toc8729 </w:instrText>
          </w:r>
          <w:r>
            <w:fldChar w:fldCharType="separate"/>
          </w:r>
          <w:r>
            <w:rPr>
              <w:rFonts w:ascii="Times New Roman" w:hAnsi="Times New Roman" w:eastAsia="黑体" w:cs="Times New Roman"/>
              <w:bCs/>
              <w:szCs w:val="30"/>
            </w:rPr>
            <w:t>1.5 报名文件递交</w:t>
          </w:r>
          <w:r>
            <w:tab/>
          </w:r>
          <w:r>
            <w:fldChar w:fldCharType="begin"/>
          </w:r>
          <w:r>
            <w:instrText xml:space="preserve"> PAGEREF _Toc8729 \h </w:instrText>
          </w:r>
          <w:r>
            <w:fldChar w:fldCharType="separate"/>
          </w:r>
          <w:r>
            <w:t>5</w:t>
          </w:r>
          <w:r>
            <w:fldChar w:fldCharType="end"/>
          </w:r>
          <w:r>
            <w:fldChar w:fldCharType="end"/>
          </w:r>
        </w:p>
        <w:p w14:paraId="1834C7CD">
          <w:pPr>
            <w:pStyle w:val="9"/>
            <w:tabs>
              <w:tab w:val="right" w:leader="dot" w:pos="9026"/>
            </w:tabs>
          </w:pPr>
          <w:r>
            <w:fldChar w:fldCharType="begin"/>
          </w:r>
          <w:r>
            <w:instrText xml:space="preserve"> HYPERLINK \l _Toc7566 </w:instrText>
          </w:r>
          <w:r>
            <w:fldChar w:fldCharType="separate"/>
          </w:r>
          <w:r>
            <w:rPr>
              <w:rFonts w:ascii="Times New Roman" w:hAnsi="Times New Roman" w:eastAsia="黑体" w:cs="Times New Roman"/>
              <w:bCs/>
              <w:szCs w:val="30"/>
            </w:rPr>
            <w:t>1.6 公开评选</w:t>
          </w:r>
          <w:r>
            <w:tab/>
          </w:r>
          <w:r>
            <w:fldChar w:fldCharType="begin"/>
          </w:r>
          <w:r>
            <w:instrText xml:space="preserve"> PAGEREF _Toc7566 \h </w:instrText>
          </w:r>
          <w:r>
            <w:fldChar w:fldCharType="separate"/>
          </w:r>
          <w:r>
            <w:t>6</w:t>
          </w:r>
          <w:r>
            <w:fldChar w:fldCharType="end"/>
          </w:r>
          <w:r>
            <w:fldChar w:fldCharType="end"/>
          </w:r>
        </w:p>
        <w:p w14:paraId="28039428">
          <w:pPr>
            <w:pStyle w:val="9"/>
            <w:tabs>
              <w:tab w:val="right" w:leader="dot" w:pos="9026"/>
            </w:tabs>
          </w:pPr>
          <w:r>
            <w:fldChar w:fldCharType="begin"/>
          </w:r>
          <w:r>
            <w:instrText xml:space="preserve"> HYPERLINK \l _Toc21505 </w:instrText>
          </w:r>
          <w:r>
            <w:fldChar w:fldCharType="separate"/>
          </w:r>
          <w:r>
            <w:rPr>
              <w:rFonts w:ascii="Times New Roman" w:hAnsi="Times New Roman" w:eastAsia="黑体" w:cs="Times New Roman"/>
              <w:bCs/>
              <w:szCs w:val="30"/>
            </w:rPr>
            <w:t>1.7 公开采购要求</w:t>
          </w:r>
          <w:r>
            <w:tab/>
          </w:r>
          <w:r>
            <w:fldChar w:fldCharType="begin"/>
          </w:r>
          <w:r>
            <w:instrText xml:space="preserve"> PAGEREF _Toc21505 \h </w:instrText>
          </w:r>
          <w:r>
            <w:fldChar w:fldCharType="separate"/>
          </w:r>
          <w:r>
            <w:t>7</w:t>
          </w:r>
          <w:r>
            <w:fldChar w:fldCharType="end"/>
          </w:r>
          <w:r>
            <w:fldChar w:fldCharType="end"/>
          </w:r>
        </w:p>
        <w:p w14:paraId="722CF85C">
          <w:pPr>
            <w:pStyle w:val="9"/>
            <w:tabs>
              <w:tab w:val="right" w:leader="dot" w:pos="9026"/>
            </w:tabs>
          </w:pPr>
          <w:r>
            <w:fldChar w:fldCharType="begin"/>
          </w:r>
          <w:r>
            <w:instrText xml:space="preserve"> HYPERLINK \l _Toc31650 </w:instrText>
          </w:r>
          <w:r>
            <w:fldChar w:fldCharType="separate"/>
          </w:r>
          <w:r>
            <w:rPr>
              <w:rFonts w:ascii="Times New Roman" w:hAnsi="Times New Roman" w:eastAsia="黑体" w:cs="Times New Roman"/>
              <w:bCs/>
              <w:szCs w:val="30"/>
            </w:rPr>
            <w:t>2. 公开采购项目概况</w:t>
          </w:r>
          <w:r>
            <w:tab/>
          </w:r>
          <w:r>
            <w:fldChar w:fldCharType="begin"/>
          </w:r>
          <w:r>
            <w:instrText xml:space="preserve"> PAGEREF _Toc31650 \h </w:instrText>
          </w:r>
          <w:r>
            <w:fldChar w:fldCharType="separate"/>
          </w:r>
          <w:r>
            <w:t>8</w:t>
          </w:r>
          <w:r>
            <w:fldChar w:fldCharType="end"/>
          </w:r>
          <w:r>
            <w:fldChar w:fldCharType="end"/>
          </w:r>
        </w:p>
        <w:p w14:paraId="6A07685C">
          <w:pPr>
            <w:pStyle w:val="9"/>
            <w:tabs>
              <w:tab w:val="right" w:leader="dot" w:pos="9026"/>
            </w:tabs>
          </w:pPr>
          <w:r>
            <w:fldChar w:fldCharType="begin"/>
          </w:r>
          <w:r>
            <w:instrText xml:space="preserve"> HYPERLINK \l _Toc4997 </w:instrText>
          </w:r>
          <w:r>
            <w:fldChar w:fldCharType="separate"/>
          </w:r>
          <w:r>
            <w:rPr>
              <w:rFonts w:ascii="Times New Roman" w:hAnsi="Times New Roman" w:eastAsia="黑体" w:cs="Times New Roman"/>
              <w:bCs/>
              <w:szCs w:val="30"/>
            </w:rPr>
            <w:t>2.1 公开采购单位介绍</w:t>
          </w:r>
          <w:r>
            <w:tab/>
          </w:r>
          <w:r>
            <w:fldChar w:fldCharType="begin"/>
          </w:r>
          <w:r>
            <w:instrText xml:space="preserve"> PAGEREF _Toc4997 \h </w:instrText>
          </w:r>
          <w:r>
            <w:fldChar w:fldCharType="separate"/>
          </w:r>
          <w:r>
            <w:t>8</w:t>
          </w:r>
          <w:r>
            <w:fldChar w:fldCharType="end"/>
          </w:r>
          <w:r>
            <w:fldChar w:fldCharType="end"/>
          </w:r>
        </w:p>
        <w:p w14:paraId="43E7B2D3">
          <w:pPr>
            <w:pStyle w:val="9"/>
            <w:tabs>
              <w:tab w:val="right" w:leader="dot" w:pos="9026"/>
            </w:tabs>
          </w:pPr>
          <w:r>
            <w:fldChar w:fldCharType="begin"/>
          </w:r>
          <w:r>
            <w:instrText xml:space="preserve"> HYPERLINK \l _Toc4215 </w:instrText>
          </w:r>
          <w:r>
            <w:fldChar w:fldCharType="separate"/>
          </w:r>
          <w:r>
            <w:rPr>
              <w:rFonts w:ascii="Times New Roman" w:hAnsi="Times New Roman" w:eastAsia="黑体" w:cs="Times New Roman"/>
              <w:bCs/>
              <w:szCs w:val="30"/>
            </w:rPr>
            <w:t>3. 公开采购项目内容要求</w:t>
          </w:r>
          <w:r>
            <w:tab/>
          </w:r>
          <w:r>
            <w:fldChar w:fldCharType="begin"/>
          </w:r>
          <w:r>
            <w:instrText xml:space="preserve"> PAGEREF _Toc4215 \h </w:instrText>
          </w:r>
          <w:r>
            <w:fldChar w:fldCharType="separate"/>
          </w:r>
          <w:r>
            <w:t>9</w:t>
          </w:r>
          <w:r>
            <w:fldChar w:fldCharType="end"/>
          </w:r>
          <w:r>
            <w:fldChar w:fldCharType="end"/>
          </w:r>
        </w:p>
        <w:p w14:paraId="0B926BB4">
          <w:pPr>
            <w:pStyle w:val="9"/>
            <w:tabs>
              <w:tab w:val="right" w:leader="dot" w:pos="9026"/>
            </w:tabs>
          </w:pPr>
          <w:r>
            <w:fldChar w:fldCharType="begin"/>
          </w:r>
          <w:r>
            <w:instrText xml:space="preserve"> HYPERLINK \l _Toc14595 </w:instrText>
          </w:r>
          <w:r>
            <w:fldChar w:fldCharType="separate"/>
          </w:r>
          <w:r>
            <w:rPr>
              <w:rFonts w:ascii="Times New Roman" w:hAnsi="Times New Roman" w:eastAsia="黑体" w:cs="Times New Roman"/>
              <w:bCs/>
              <w:szCs w:val="30"/>
            </w:rPr>
            <w:t>3.1 公开采购项目服务内容要求</w:t>
          </w:r>
          <w:r>
            <w:tab/>
          </w:r>
          <w:r>
            <w:fldChar w:fldCharType="begin"/>
          </w:r>
          <w:r>
            <w:instrText xml:space="preserve"> PAGEREF _Toc14595 \h </w:instrText>
          </w:r>
          <w:r>
            <w:fldChar w:fldCharType="separate"/>
          </w:r>
          <w:r>
            <w:t>9</w:t>
          </w:r>
          <w:r>
            <w:fldChar w:fldCharType="end"/>
          </w:r>
          <w:r>
            <w:fldChar w:fldCharType="end"/>
          </w:r>
        </w:p>
        <w:p w14:paraId="5E1DB4D4">
          <w:pPr>
            <w:pStyle w:val="9"/>
            <w:tabs>
              <w:tab w:val="right" w:leader="dot" w:pos="9026"/>
            </w:tabs>
          </w:pPr>
          <w:r>
            <w:fldChar w:fldCharType="begin"/>
          </w:r>
          <w:r>
            <w:instrText xml:space="preserve"> HYPERLINK \l _Toc22949 </w:instrText>
          </w:r>
          <w:r>
            <w:fldChar w:fldCharType="separate"/>
          </w:r>
          <w:r>
            <w:rPr>
              <w:rFonts w:ascii="Times New Roman" w:hAnsi="Times New Roman" w:eastAsia="黑体" w:cs="Times New Roman"/>
              <w:bCs/>
              <w:szCs w:val="30"/>
            </w:rPr>
            <w:t>4. 服务期限</w:t>
          </w:r>
          <w:r>
            <w:tab/>
          </w:r>
          <w:r>
            <w:fldChar w:fldCharType="begin"/>
          </w:r>
          <w:r>
            <w:instrText xml:space="preserve"> PAGEREF _Toc22949 \h </w:instrText>
          </w:r>
          <w:r>
            <w:fldChar w:fldCharType="separate"/>
          </w:r>
          <w:r>
            <w:t>10</w:t>
          </w:r>
          <w:r>
            <w:fldChar w:fldCharType="end"/>
          </w:r>
          <w:r>
            <w:fldChar w:fldCharType="end"/>
          </w:r>
        </w:p>
        <w:p w14:paraId="1C654269">
          <w:pPr>
            <w:pStyle w:val="9"/>
            <w:tabs>
              <w:tab w:val="right" w:leader="dot" w:pos="9026"/>
            </w:tabs>
          </w:pPr>
          <w:r>
            <w:fldChar w:fldCharType="begin"/>
          </w:r>
          <w:r>
            <w:instrText xml:space="preserve"> HYPERLINK \l _Toc32670 </w:instrText>
          </w:r>
          <w:r>
            <w:fldChar w:fldCharType="separate"/>
          </w:r>
          <w:r>
            <w:rPr>
              <w:rFonts w:ascii="Times New Roman" w:hAnsi="Times New Roman" w:eastAsia="黑体" w:cs="Times New Roman"/>
              <w:bCs/>
              <w:szCs w:val="30"/>
            </w:rPr>
            <w:t>5. 报价要求</w:t>
          </w:r>
          <w:r>
            <w:tab/>
          </w:r>
          <w:r>
            <w:fldChar w:fldCharType="begin"/>
          </w:r>
          <w:r>
            <w:instrText xml:space="preserve"> PAGEREF _Toc32670 \h </w:instrText>
          </w:r>
          <w:r>
            <w:fldChar w:fldCharType="separate"/>
          </w:r>
          <w:r>
            <w:t>11</w:t>
          </w:r>
          <w:r>
            <w:fldChar w:fldCharType="end"/>
          </w:r>
          <w:r>
            <w:fldChar w:fldCharType="end"/>
          </w:r>
        </w:p>
        <w:p w14:paraId="38126F2B">
          <w:pPr>
            <w:pStyle w:val="9"/>
            <w:tabs>
              <w:tab w:val="right" w:leader="dot" w:pos="9026"/>
            </w:tabs>
          </w:pPr>
          <w:r>
            <w:fldChar w:fldCharType="begin"/>
          </w:r>
          <w:r>
            <w:instrText xml:space="preserve"> HYPERLINK \l _Toc12807 </w:instrText>
          </w:r>
          <w:r>
            <w:fldChar w:fldCharType="separate"/>
          </w:r>
          <w:r>
            <w:rPr>
              <w:rFonts w:ascii="Times New Roman" w:hAnsi="Times New Roman" w:eastAsia="黑体" w:cs="Times New Roman"/>
              <w:bCs/>
              <w:szCs w:val="30"/>
            </w:rPr>
            <w:t>附件 1  评分标准</w:t>
          </w:r>
          <w:r>
            <w:tab/>
          </w:r>
          <w:r>
            <w:fldChar w:fldCharType="begin"/>
          </w:r>
          <w:r>
            <w:instrText xml:space="preserve"> PAGEREF _Toc12807 \h </w:instrText>
          </w:r>
          <w:r>
            <w:fldChar w:fldCharType="separate"/>
          </w:r>
          <w:r>
            <w:t>12</w:t>
          </w:r>
          <w:r>
            <w:fldChar w:fldCharType="end"/>
          </w:r>
          <w:r>
            <w:fldChar w:fldCharType="end"/>
          </w:r>
        </w:p>
        <w:p w14:paraId="016B24D3">
          <w:pPr>
            <w:pStyle w:val="9"/>
            <w:tabs>
              <w:tab w:val="right" w:leader="dot" w:pos="9026"/>
            </w:tabs>
          </w:pPr>
          <w:r>
            <w:fldChar w:fldCharType="begin"/>
          </w:r>
          <w:r>
            <w:instrText xml:space="preserve"> HYPERLINK \l _Toc14846 </w:instrText>
          </w:r>
          <w:r>
            <w:fldChar w:fldCharType="separate"/>
          </w:r>
          <w:r>
            <w:rPr>
              <w:rFonts w:ascii="Times New Roman" w:hAnsi="Times New Roman" w:eastAsia="黑体" w:cs="Times New Roman"/>
              <w:bCs/>
              <w:szCs w:val="30"/>
            </w:rPr>
            <w:t>附件 2  证券公司报名报价函</w:t>
          </w:r>
          <w:r>
            <w:tab/>
          </w:r>
          <w:r>
            <w:fldChar w:fldCharType="begin"/>
          </w:r>
          <w:r>
            <w:instrText xml:space="preserve"> PAGEREF _Toc14846 \h </w:instrText>
          </w:r>
          <w:r>
            <w:fldChar w:fldCharType="separate"/>
          </w:r>
          <w:r>
            <w:t>13</w:t>
          </w:r>
          <w:r>
            <w:fldChar w:fldCharType="end"/>
          </w:r>
          <w:r>
            <w:fldChar w:fldCharType="end"/>
          </w:r>
        </w:p>
        <w:p w14:paraId="377B3506">
          <w:pPr>
            <w:pStyle w:val="9"/>
            <w:tabs>
              <w:tab w:val="right" w:leader="dot" w:pos="9026"/>
            </w:tabs>
          </w:pPr>
          <w:r>
            <w:fldChar w:fldCharType="begin"/>
          </w:r>
          <w:r>
            <w:instrText xml:space="preserve"> HYPERLINK \l _Toc24569 </w:instrText>
          </w:r>
          <w:r>
            <w:fldChar w:fldCharType="separate"/>
          </w:r>
          <w:r>
            <w:rPr>
              <w:rFonts w:ascii="Times New Roman" w:hAnsi="Times New Roman" w:eastAsia="黑体" w:cs="Times New Roman"/>
              <w:bCs/>
              <w:szCs w:val="30"/>
            </w:rPr>
            <w:t>附件 3  廉洁承诺书</w:t>
          </w:r>
          <w:r>
            <w:tab/>
          </w:r>
          <w:r>
            <w:fldChar w:fldCharType="begin"/>
          </w:r>
          <w:r>
            <w:instrText xml:space="preserve"> PAGEREF _Toc24569 \h </w:instrText>
          </w:r>
          <w:r>
            <w:fldChar w:fldCharType="separate"/>
          </w:r>
          <w:r>
            <w:t>14</w:t>
          </w:r>
          <w:r>
            <w:fldChar w:fldCharType="end"/>
          </w:r>
          <w:r>
            <w:fldChar w:fldCharType="end"/>
          </w:r>
        </w:p>
        <w:p w14:paraId="39D3C006">
          <w:r>
            <w:fldChar w:fldCharType="end"/>
          </w:r>
        </w:p>
      </w:sdtContent>
    </w:sdt>
    <w:p w14:paraId="038F84BE">
      <w:r>
        <w:br w:type="page"/>
      </w:r>
    </w:p>
    <w:p w14:paraId="4CC3617B">
      <w:pPr>
        <w:pStyle w:val="2"/>
      </w:pPr>
      <w:bookmarkStart w:id="0" w:name="_Toc10641"/>
      <w:r>
        <w:rPr>
          <w:rFonts w:ascii="Times New Roman" w:hAnsi="Times New Roman" w:eastAsia="黑体" w:cs="Times New Roman"/>
          <w:b/>
          <w:bCs/>
          <w:sz w:val="30"/>
          <w:szCs w:val="30"/>
        </w:rPr>
        <w:t>1. 报名须知</w:t>
      </w:r>
      <w:bookmarkEnd w:id="0"/>
    </w:p>
    <w:p w14:paraId="0DFFBFD9">
      <w:pPr>
        <w:spacing w:before="0" w:after="80" w:line="360" w:lineRule="auto"/>
        <w:ind w:firstLine="480"/>
      </w:pPr>
      <w:r>
        <w:rPr>
          <w:rFonts w:ascii="Times New Roman" w:hAnsi="Times New Roman" w:eastAsia="宋体" w:cs="Times New Roman"/>
          <w:sz w:val="24"/>
          <w:szCs w:val="24"/>
        </w:rPr>
        <w:t>本次采购为公开采购，公开采购项目的项目主办人和公开采购人均为厦门国贸控股集团有限公司。报名人请仔细阅读本公开采购文件的内容以保证提交完整有效的报名文件参加竞选活动。</w:t>
      </w:r>
    </w:p>
    <w:p w14:paraId="64A07F33">
      <w:pPr>
        <w:pStyle w:val="2"/>
      </w:pPr>
      <w:bookmarkStart w:id="1" w:name="_Toc16948"/>
      <w:r>
        <w:rPr>
          <w:rFonts w:ascii="Times New Roman" w:hAnsi="Times New Roman" w:eastAsia="黑体" w:cs="Times New Roman"/>
          <w:b/>
          <w:bCs/>
          <w:sz w:val="30"/>
          <w:szCs w:val="30"/>
        </w:rPr>
        <w:t>1.1 适用范围及合格的报名人要求</w:t>
      </w:r>
      <w:bookmarkEnd w:id="1"/>
    </w:p>
    <w:p w14:paraId="66EB5899">
      <w:pPr>
        <w:spacing w:before="0" w:after="80" w:line="360" w:lineRule="auto"/>
        <w:ind w:firstLine="480"/>
      </w:pPr>
      <w:r>
        <w:rPr>
          <w:rFonts w:ascii="Times New Roman" w:hAnsi="Times New Roman" w:eastAsia="宋体" w:cs="Times New Roman"/>
          <w:sz w:val="24"/>
          <w:szCs w:val="24"/>
        </w:rPr>
        <w:t>1.1.1 适用范围：本公开采购文件条款仅适用于本公开采购书中所述的厦门国贸控股集团有限公司注册发行不超过人民币 70 亿元（含）的可续期公司债承销商选聘项目。</w:t>
      </w:r>
    </w:p>
    <w:p w14:paraId="71C967CC">
      <w:pPr>
        <w:spacing w:before="0" w:after="80" w:line="360" w:lineRule="auto"/>
        <w:ind w:firstLine="480"/>
      </w:pPr>
      <w:r>
        <w:rPr>
          <w:rFonts w:ascii="Times New Roman" w:hAnsi="Times New Roman" w:eastAsia="宋体" w:cs="Times New Roman"/>
          <w:sz w:val="24"/>
          <w:szCs w:val="24"/>
        </w:rPr>
        <w:t>1.1.2 合格的报名人要求：</w:t>
      </w:r>
    </w:p>
    <w:p w14:paraId="07132D1B">
      <w:pPr>
        <w:spacing w:before="0" w:after="0" w:line="360" w:lineRule="auto"/>
        <w:ind w:firstLine="480"/>
      </w:pPr>
      <w:r>
        <w:rPr>
          <w:rFonts w:ascii="Times New Roman" w:hAnsi="Times New Roman" w:eastAsia="宋体" w:cs="Times New Roman"/>
          <w:sz w:val="24"/>
          <w:szCs w:val="24"/>
        </w:rPr>
        <w:t>本次报名人为证券公司，具体要求如下：</w:t>
      </w:r>
    </w:p>
    <w:p w14:paraId="433EDF7C">
      <w:pPr>
        <w:spacing w:before="0" w:after="80" w:line="360" w:lineRule="auto"/>
        <w:ind w:left="480"/>
      </w:pPr>
      <w:r>
        <w:rPr>
          <w:rFonts w:ascii="Times New Roman" w:hAnsi="Times New Roman" w:eastAsia="宋体" w:cs="Times New Roman"/>
          <w:sz w:val="24"/>
          <w:szCs w:val="24"/>
        </w:rPr>
        <w:t>① 报名人系在中华人民共和国境内注册的证券公司，并具有独立法人资格。</w:t>
      </w:r>
    </w:p>
    <w:p w14:paraId="34F7FA34">
      <w:pPr>
        <w:spacing w:before="0" w:after="80" w:line="360" w:lineRule="auto"/>
        <w:ind w:left="480"/>
      </w:pPr>
      <w:r>
        <w:rPr>
          <w:rFonts w:ascii="Times New Roman" w:hAnsi="Times New Roman" w:eastAsia="宋体" w:cs="Times New Roman"/>
          <w:sz w:val="24"/>
          <w:szCs w:val="24"/>
        </w:rPr>
        <w:t>② 报名人具有中国证券监督管理委员会承认的开展可续期公司债券承销业务的资质。</w:t>
      </w:r>
    </w:p>
    <w:p w14:paraId="2CCFB82C">
      <w:pPr>
        <w:pStyle w:val="2"/>
      </w:pPr>
      <w:bookmarkStart w:id="2" w:name="_Toc9843"/>
      <w:r>
        <w:rPr>
          <w:rFonts w:ascii="Times New Roman" w:hAnsi="Times New Roman" w:eastAsia="黑体" w:cs="Times New Roman"/>
          <w:b/>
          <w:bCs/>
          <w:sz w:val="30"/>
          <w:szCs w:val="30"/>
        </w:rPr>
        <w:t>1.2 公开采购项目内容</w:t>
      </w:r>
      <w:bookmarkEnd w:id="2"/>
    </w:p>
    <w:p w14:paraId="6A2291E6">
      <w:pPr>
        <w:spacing w:before="0" w:after="80" w:line="360" w:lineRule="auto"/>
        <w:ind w:firstLine="480"/>
      </w:pPr>
      <w:r>
        <w:rPr>
          <w:rFonts w:ascii="Times New Roman" w:hAnsi="Times New Roman" w:eastAsia="宋体" w:cs="Times New Roman"/>
          <w:sz w:val="24"/>
          <w:szCs w:val="24"/>
        </w:rPr>
        <w:t>本次厦门国贸控股集团有限公司注册发行可续期公司债承销商选聘公开采购的目的是通过公开采购选聘 12 家证券公司，作为本次注册发行可续期公司债项下的承销商。</w:t>
      </w:r>
    </w:p>
    <w:p w14:paraId="7A85B41F">
      <w:pPr>
        <w:spacing w:before="0" w:after="80" w:line="360" w:lineRule="auto"/>
        <w:ind w:firstLine="480"/>
      </w:pPr>
      <w:r>
        <w:rPr>
          <w:rFonts w:ascii="Times New Roman" w:hAnsi="Times New Roman" w:eastAsia="宋体" w:cs="Times New Roman"/>
          <w:sz w:val="24"/>
          <w:szCs w:val="24"/>
        </w:rPr>
        <w:t>最终被选定的中选供应商将与公开采购人通过充分的商务谈判确定的具体工作范围、价格及其他细节，并签订合同。</w:t>
      </w:r>
    </w:p>
    <w:p w14:paraId="57FC873E">
      <w:pPr>
        <w:pStyle w:val="2"/>
      </w:pPr>
      <w:bookmarkStart w:id="3" w:name="_Toc11892"/>
      <w:r>
        <w:rPr>
          <w:rFonts w:ascii="Times New Roman" w:hAnsi="Times New Roman" w:eastAsia="黑体" w:cs="Times New Roman"/>
          <w:b/>
          <w:bCs/>
          <w:sz w:val="30"/>
          <w:szCs w:val="30"/>
        </w:rPr>
        <w:t>1.3 公开采购说明</w:t>
      </w:r>
      <w:bookmarkEnd w:id="3"/>
    </w:p>
    <w:p w14:paraId="403B071B">
      <w:pPr>
        <w:spacing w:before="0" w:after="80" w:line="360" w:lineRule="auto"/>
        <w:ind w:firstLine="480"/>
      </w:pPr>
      <w:r>
        <w:rPr>
          <w:rFonts w:ascii="Times New Roman" w:hAnsi="Times New Roman" w:eastAsia="宋体" w:cs="Times New Roman"/>
          <w:sz w:val="24"/>
          <w:szCs w:val="24"/>
        </w:rPr>
        <w:t>1.3.1 公开采购文件由公开采购书目录所列内容组成。</w:t>
      </w:r>
    </w:p>
    <w:p w14:paraId="6EBF5663">
      <w:pPr>
        <w:spacing w:before="0" w:after="80" w:line="360" w:lineRule="auto"/>
        <w:ind w:firstLine="480"/>
      </w:pPr>
      <w:r>
        <w:rPr>
          <w:rFonts w:ascii="Times New Roman" w:hAnsi="Times New Roman" w:eastAsia="宋体" w:cs="Times New Roman"/>
          <w:sz w:val="24"/>
          <w:szCs w:val="24"/>
        </w:rPr>
        <w:t>1.3.2 报名方应详细阅读公开采购文件的全部内容。不按公开采购文件的要求提供的报名文件和资料，可能导致报名被拒绝。</w:t>
      </w:r>
    </w:p>
    <w:p w14:paraId="2A5E01D8">
      <w:pPr>
        <w:spacing w:before="0" w:after="80" w:line="360" w:lineRule="auto"/>
        <w:ind w:firstLine="480"/>
      </w:pPr>
      <w:r>
        <w:rPr>
          <w:rFonts w:ascii="Times New Roman" w:hAnsi="Times New Roman" w:eastAsia="宋体" w:cs="Times New Roman"/>
          <w:sz w:val="24"/>
          <w:szCs w:val="24"/>
        </w:rPr>
        <w:t>1.3.3 报名方对公开采购文件如有疑点要求澄清，或认为有必要与公开采购人进行技术交流时，可用书面、传真形式通知公开采购方，公开采购方应用书面、传真作出答复。</w:t>
      </w:r>
    </w:p>
    <w:p w14:paraId="082E7E5C">
      <w:pPr>
        <w:spacing w:before="0" w:after="80" w:line="360" w:lineRule="auto"/>
        <w:ind w:firstLine="480"/>
      </w:pPr>
      <w:r>
        <w:rPr>
          <w:rFonts w:ascii="Times New Roman" w:hAnsi="Times New Roman" w:eastAsia="宋体" w:cs="Times New Roman"/>
          <w:sz w:val="24"/>
          <w:szCs w:val="24"/>
        </w:rPr>
        <w:t>1.3.4 在报名截止时间五日前，公开采购方无论出于自己考虑，还是出于对报名方提问的澄清，均可对公开采购文件用补充文件的方式进行修改。</w:t>
      </w:r>
    </w:p>
    <w:p w14:paraId="067F7C2E">
      <w:pPr>
        <w:spacing w:before="0" w:after="80" w:line="360" w:lineRule="auto"/>
        <w:ind w:firstLine="480"/>
      </w:pPr>
      <w:r>
        <w:rPr>
          <w:rFonts w:ascii="Times New Roman" w:hAnsi="Times New Roman" w:eastAsia="宋体" w:cs="Times New Roman"/>
          <w:sz w:val="24"/>
          <w:szCs w:val="24"/>
        </w:rPr>
        <w:t>1.3.5 公开采购人在发出公开采购文件后若需对公开采购文件作出修改，将以书面或传真的形式通知已收到公开采购文件的每一报名方。补充文件将作为公开采购文件的组成部分，对所有报名方有约束力。</w:t>
      </w:r>
    </w:p>
    <w:p w14:paraId="28517B90">
      <w:pPr>
        <w:pStyle w:val="2"/>
      </w:pPr>
      <w:bookmarkStart w:id="4" w:name="_Toc31399"/>
      <w:r>
        <w:rPr>
          <w:rFonts w:ascii="Times New Roman" w:hAnsi="Times New Roman" w:eastAsia="黑体" w:cs="Times New Roman"/>
          <w:b/>
          <w:bCs/>
          <w:sz w:val="30"/>
          <w:szCs w:val="30"/>
        </w:rPr>
        <w:t>1.4 报名文件与包装</w:t>
      </w:r>
      <w:bookmarkEnd w:id="4"/>
    </w:p>
    <w:p w14:paraId="77D50E1B">
      <w:pPr>
        <w:spacing w:before="0" w:after="80" w:line="360" w:lineRule="auto"/>
        <w:ind w:firstLine="480"/>
      </w:pPr>
      <w:r>
        <w:rPr>
          <w:rFonts w:ascii="Times New Roman" w:hAnsi="Times New Roman" w:eastAsia="宋体" w:cs="Times New Roman"/>
          <w:sz w:val="24"/>
          <w:szCs w:val="24"/>
        </w:rPr>
        <w:t>1.4.1 报名文件要求：</w:t>
      </w:r>
    </w:p>
    <w:p w14:paraId="3585F610">
      <w:pPr>
        <w:spacing w:before="0" w:after="0" w:line="360" w:lineRule="auto"/>
        <w:ind w:firstLine="480"/>
      </w:pPr>
      <w:r>
        <w:rPr>
          <w:rFonts w:ascii="Times New Roman" w:hAnsi="Times New Roman" w:eastAsia="宋体" w:cs="Times New Roman"/>
          <w:sz w:val="24"/>
          <w:szCs w:val="24"/>
        </w:rPr>
        <w:t>参加报名的单位须编制报名文件，格式自拟，内容必须正面响应我公司要求。具体包括但不限于以下资料：</w:t>
      </w:r>
    </w:p>
    <w:p w14:paraId="299B0947">
      <w:pPr>
        <w:spacing w:before="0" w:after="80" w:line="360" w:lineRule="auto"/>
        <w:ind w:left="480"/>
      </w:pPr>
      <w:r>
        <w:rPr>
          <w:rFonts w:ascii="Times New Roman" w:hAnsi="Times New Roman" w:eastAsia="宋体" w:cs="Times New Roman"/>
          <w:sz w:val="24"/>
          <w:szCs w:val="24"/>
        </w:rPr>
        <w:t>(1) 报名人营业执照；</w:t>
      </w:r>
    </w:p>
    <w:p w14:paraId="2433D1D8">
      <w:pPr>
        <w:spacing w:before="0" w:after="80" w:line="360" w:lineRule="auto"/>
        <w:ind w:left="480"/>
      </w:pPr>
      <w:r>
        <w:rPr>
          <w:rFonts w:ascii="Times New Roman" w:hAnsi="Times New Roman" w:eastAsia="宋体" w:cs="Times New Roman"/>
          <w:sz w:val="24"/>
          <w:szCs w:val="24"/>
        </w:rPr>
        <w:t>(2) 报名人独立承销可续期公司债业务资格证明文件；</w:t>
      </w:r>
    </w:p>
    <w:p w14:paraId="3C820B35">
      <w:pPr>
        <w:spacing w:before="0" w:after="80" w:line="360" w:lineRule="auto"/>
        <w:ind w:left="480"/>
      </w:pPr>
      <w:r>
        <w:rPr>
          <w:rFonts w:ascii="Times New Roman" w:hAnsi="Times New Roman" w:eastAsia="宋体" w:cs="Times New Roman"/>
          <w:sz w:val="24"/>
          <w:szCs w:val="24"/>
        </w:rPr>
        <w:t>(3) 证券公司报名报价书（附件 2）（该报价为含税价，证券公司承销费报价上限为年化 0.8‰）；</w:t>
      </w:r>
    </w:p>
    <w:p w14:paraId="5A7CFEF2">
      <w:pPr>
        <w:spacing w:before="0" w:after="80" w:line="360" w:lineRule="auto"/>
        <w:ind w:left="480"/>
      </w:pPr>
      <w:r>
        <w:rPr>
          <w:rFonts w:ascii="Times New Roman" w:hAnsi="Times New Roman" w:eastAsia="宋体" w:cs="Times New Roman"/>
          <w:sz w:val="24"/>
          <w:szCs w:val="24"/>
        </w:rPr>
        <w:t>(4) 廉洁承诺书（附件 3）；</w:t>
      </w:r>
    </w:p>
    <w:p w14:paraId="7ABF04CE">
      <w:pPr>
        <w:spacing w:before="0" w:after="80" w:line="360" w:lineRule="auto"/>
        <w:ind w:left="480"/>
      </w:pPr>
      <w:r>
        <w:rPr>
          <w:rFonts w:ascii="Times New Roman" w:hAnsi="Times New Roman" w:eastAsia="宋体" w:cs="Times New Roman"/>
          <w:sz w:val="24"/>
          <w:szCs w:val="24"/>
        </w:rPr>
        <w:t>(5) 注册发行方案（包括但不限于报名人简介、承销业绩介绍、承销项目经验、与本公司的合作情况；本次可续期公司债注册的保障措施；降低发行成本或确保成功发行的措施；债券推介和余额包销的能力；团队配置、服务保证等）；</w:t>
      </w:r>
    </w:p>
    <w:p w14:paraId="22BBF487">
      <w:pPr>
        <w:spacing w:before="0" w:after="80" w:line="360" w:lineRule="auto"/>
        <w:ind w:left="480"/>
      </w:pPr>
      <w:r>
        <w:rPr>
          <w:rFonts w:ascii="Times New Roman" w:hAnsi="Times New Roman" w:eastAsia="宋体" w:cs="Times New Roman"/>
          <w:sz w:val="24"/>
          <w:szCs w:val="24"/>
        </w:rPr>
        <w:t>(6) 证明材料：</w:t>
      </w:r>
    </w:p>
    <w:p w14:paraId="748EB536">
      <w:pPr>
        <w:spacing w:before="0" w:after="80" w:line="360" w:lineRule="auto"/>
        <w:ind w:left="720"/>
      </w:pPr>
      <w:r>
        <w:rPr>
          <w:rFonts w:ascii="Times New Roman" w:hAnsi="Times New Roman" w:eastAsia="宋体" w:cs="Times New Roman"/>
          <w:sz w:val="24"/>
          <w:szCs w:val="24"/>
        </w:rPr>
        <w:t>① 报名人 2025 年证券公司福建省债券承销金额排名证明材料：</w:t>
      </w:r>
    </w:p>
    <w:p w14:paraId="554EC597">
      <w:pPr>
        <w:spacing w:before="0" w:after="80" w:line="360" w:lineRule="auto"/>
        <w:ind w:left="960"/>
      </w:pPr>
      <w:r>
        <w:rPr>
          <w:rFonts w:ascii="Times New Roman" w:hAnsi="Times New Roman" w:eastAsia="宋体" w:cs="Times New Roman"/>
          <w:sz w:val="24"/>
          <w:szCs w:val="24"/>
        </w:rPr>
        <w:t>债券-专题统计-一级市场-承销统计-债券承销统计（按地域）-统计年度：2025 年；机构类型：证券；债券类型：债券分类 wind（旧）-企业债、公司债、中期票据、短期融资券；地域：福建；联主实际比例，不勾选自主自办发行；合并母子公司。</w:t>
      </w:r>
    </w:p>
    <w:p w14:paraId="3DDB69FA">
      <w:pPr>
        <w:spacing w:before="0" w:after="80" w:line="360" w:lineRule="auto"/>
        <w:ind w:left="720"/>
      </w:pPr>
      <w:r>
        <w:rPr>
          <w:rFonts w:ascii="Times New Roman" w:hAnsi="Times New Roman" w:eastAsia="宋体" w:cs="Times New Roman"/>
          <w:sz w:val="24"/>
          <w:szCs w:val="24"/>
        </w:rPr>
        <w:t xml:space="preserve">② 报名人 </w:t>
      </w:r>
      <w:r>
        <w:rPr>
          <w:rFonts w:hint="eastAsia" w:ascii="Times New Roman" w:hAnsi="Times New Roman" w:eastAsia="宋体" w:cs="Times New Roman"/>
          <w:sz w:val="24"/>
          <w:szCs w:val="24"/>
        </w:rPr>
        <w:t>2025 年证券公司全国全口径债券承销排名</w:t>
      </w:r>
      <w:r>
        <w:rPr>
          <w:rFonts w:ascii="Times New Roman" w:hAnsi="Times New Roman" w:eastAsia="宋体" w:cs="Times New Roman"/>
          <w:sz w:val="24"/>
          <w:szCs w:val="24"/>
        </w:rPr>
        <w:t>证明材料：</w:t>
      </w:r>
    </w:p>
    <w:p w14:paraId="10A5B5D7">
      <w:pPr>
        <w:spacing w:before="0" w:after="80" w:line="360" w:lineRule="auto"/>
        <w:ind w:left="960"/>
      </w:pPr>
      <w:r>
        <w:rPr>
          <w:rFonts w:hint="eastAsia" w:ascii="Times New Roman" w:hAnsi="Times New Roman" w:eastAsia="宋体" w:cs="Times New Roman"/>
          <w:sz w:val="24"/>
          <w:szCs w:val="24"/>
        </w:rPr>
        <w:t>债券-专题统计-一级市场-承销统计-债券承销排名（Wind 口径）-统计年度：2025 年；机构类型：证券；债券分类：债券分类（WIND）（旧）；地域分类：全国；联主实际比例，不勾选自主自办发行；合并母子公司</w:t>
      </w:r>
      <w:r>
        <w:rPr>
          <w:rFonts w:ascii="Times New Roman" w:hAnsi="Times New Roman" w:eastAsia="宋体" w:cs="Times New Roman"/>
          <w:sz w:val="24"/>
          <w:szCs w:val="24"/>
        </w:rPr>
        <w:t>。</w:t>
      </w:r>
    </w:p>
    <w:p w14:paraId="36409963">
      <w:pPr>
        <w:spacing w:before="0" w:after="80" w:line="360" w:lineRule="auto"/>
        <w:ind w:firstLine="480"/>
      </w:pPr>
      <w:r>
        <w:rPr>
          <w:rFonts w:ascii="Times New Roman" w:hAnsi="Times New Roman" w:eastAsia="宋体" w:cs="Times New Roman"/>
          <w:sz w:val="24"/>
          <w:szCs w:val="24"/>
        </w:rPr>
        <w:t>1.4.2 报名文件密封与标志</w:t>
      </w:r>
    </w:p>
    <w:p w14:paraId="4D50C148">
      <w:pPr>
        <w:spacing w:before="0" w:after="80" w:line="360" w:lineRule="auto"/>
        <w:ind w:firstLine="480"/>
      </w:pPr>
      <w:r>
        <w:rPr>
          <w:rFonts w:ascii="Times New Roman" w:hAnsi="Times New Roman" w:eastAsia="宋体" w:cs="Times New Roman"/>
          <w:sz w:val="24"/>
          <w:szCs w:val="24"/>
        </w:rPr>
        <w:t>报名方需提供报名文件正本壹份，副本壹份。报名文件正副本需单独密封包装，封口处应有报名单位公章。密封袋正面应明确标明报名人的名称、“厦门国贸控股集团有限公司注册发行可续期公司债承销商选聘公开采购项目”，并在每一密封袋封面正面右上角分别标明“正本、副本”的字样。报名文件内容以正本为准。章节 1.4.1 中要求的报名报价函需在单独密封包装的正、副本包装袋内另外单独密封包装，报名报价书密封包装的封面标明报名人名称。</w:t>
      </w:r>
    </w:p>
    <w:p w14:paraId="49AA07F1">
      <w:pPr>
        <w:pStyle w:val="2"/>
      </w:pPr>
      <w:bookmarkStart w:id="5" w:name="_Toc8729"/>
      <w:r>
        <w:rPr>
          <w:rFonts w:ascii="Times New Roman" w:hAnsi="Times New Roman" w:eastAsia="黑体" w:cs="Times New Roman"/>
          <w:b/>
          <w:bCs/>
          <w:sz w:val="30"/>
          <w:szCs w:val="30"/>
        </w:rPr>
        <w:t>1.5 报名文件递交</w:t>
      </w:r>
      <w:bookmarkEnd w:id="5"/>
    </w:p>
    <w:p w14:paraId="605671D2">
      <w:pPr>
        <w:spacing w:before="0" w:after="80" w:line="360" w:lineRule="auto"/>
        <w:ind w:firstLine="480"/>
      </w:pPr>
      <w:r>
        <w:rPr>
          <w:rFonts w:ascii="Times New Roman" w:hAnsi="Times New Roman" w:eastAsia="宋体" w:cs="Times New Roman"/>
          <w:sz w:val="24"/>
          <w:szCs w:val="24"/>
        </w:rPr>
        <w:t>1.5.1 报名</w:t>
      </w:r>
    </w:p>
    <w:p w14:paraId="405355F3">
      <w:pPr>
        <w:spacing w:before="0" w:after="80" w:line="360" w:lineRule="auto"/>
        <w:ind w:left="480"/>
      </w:pPr>
      <w:r>
        <w:rPr>
          <w:rFonts w:ascii="Times New Roman" w:hAnsi="Times New Roman" w:eastAsia="宋体" w:cs="Times New Roman"/>
          <w:sz w:val="24"/>
          <w:szCs w:val="24"/>
        </w:rPr>
        <w:t xml:space="preserve">(1) 报名截止时间为：2026 年 </w:t>
      </w:r>
      <w:r>
        <w:rPr>
          <w:rFonts w:hint="default" w:cs="Times New Roman"/>
          <w:sz w:val="24"/>
          <w:szCs w:val="24"/>
          <w:lang w:val="en-US"/>
        </w:rPr>
        <w:t>9</w:t>
      </w:r>
      <w:r>
        <w:rPr>
          <w:rFonts w:ascii="Times New Roman" w:hAnsi="Times New Roman" w:eastAsia="宋体" w:cs="Times New Roman"/>
          <w:sz w:val="24"/>
          <w:szCs w:val="24"/>
        </w:rPr>
        <w:t>月</w:t>
      </w:r>
      <w:r>
        <w:rPr>
          <w:rFonts w:hint="eastAsia" w:cs="Times New Roman"/>
          <w:sz w:val="24"/>
          <w:szCs w:val="24"/>
          <w:lang w:val="en-US" w:eastAsia="zh-CN"/>
        </w:rPr>
        <w:t>28</w:t>
      </w:r>
      <w:r>
        <w:rPr>
          <w:rFonts w:ascii="Times New Roman" w:hAnsi="Times New Roman" w:eastAsia="宋体" w:cs="Times New Roman"/>
          <w:sz w:val="24"/>
          <w:szCs w:val="24"/>
        </w:rPr>
        <w:t>日</w:t>
      </w:r>
      <w:r>
        <w:rPr>
          <w:rFonts w:hint="eastAsia" w:cs="Times New Roman"/>
          <w:sz w:val="24"/>
          <w:szCs w:val="24"/>
          <w:lang w:val="en-US" w:eastAsia="zh-CN"/>
        </w:rPr>
        <w:t>12</w:t>
      </w:r>
      <w:r>
        <w:rPr>
          <w:rFonts w:ascii="Times New Roman" w:hAnsi="Times New Roman" w:eastAsia="宋体" w:cs="Times New Roman"/>
          <w:sz w:val="24"/>
          <w:szCs w:val="24"/>
        </w:rPr>
        <w:t>时。</w:t>
      </w:r>
    </w:p>
    <w:p w14:paraId="1E066E93">
      <w:pPr>
        <w:spacing w:before="0" w:after="80" w:line="360" w:lineRule="auto"/>
        <w:ind w:left="480"/>
      </w:pPr>
      <w:r>
        <w:rPr>
          <w:rFonts w:ascii="Times New Roman" w:hAnsi="Times New Roman" w:eastAsia="宋体" w:cs="Times New Roman"/>
          <w:sz w:val="24"/>
          <w:szCs w:val="24"/>
        </w:rPr>
        <w:t>(2) 报名文件必须在报名截止时间前邮寄到达或派人送达到指定的报名地点。</w:t>
      </w:r>
    </w:p>
    <w:p w14:paraId="21341E21">
      <w:pPr>
        <w:spacing w:before="0" w:after="80" w:line="360" w:lineRule="auto"/>
        <w:ind w:left="480"/>
      </w:pPr>
      <w:r>
        <w:rPr>
          <w:rFonts w:ascii="Times New Roman" w:hAnsi="Times New Roman" w:eastAsia="宋体" w:cs="Times New Roman"/>
          <w:sz w:val="24"/>
          <w:szCs w:val="24"/>
        </w:rPr>
        <w:t>(3) 在报名截止时间以后送达的报名文件，公开采购方有权拒绝接收。</w:t>
      </w:r>
    </w:p>
    <w:p w14:paraId="50B3975F">
      <w:pPr>
        <w:spacing w:before="0" w:after="80" w:line="360" w:lineRule="auto"/>
        <w:ind w:left="480"/>
      </w:pPr>
      <w:r>
        <w:rPr>
          <w:rFonts w:ascii="Times New Roman" w:hAnsi="Times New Roman" w:eastAsia="宋体" w:cs="Times New Roman"/>
          <w:sz w:val="24"/>
          <w:szCs w:val="24"/>
        </w:rPr>
        <w:t>(4) 报名地点为：厦门市湖里区仙岳路 4686 号国贸中心 A 栋 30 层国贸控股集团总经理办公室，联系人：金成千，联系电话：0592-5790629，电子邮箱：jincq@itgholding.com.cn。</w:t>
      </w:r>
    </w:p>
    <w:p w14:paraId="4E7B784F">
      <w:pPr>
        <w:spacing w:before="0" w:after="80" w:line="360" w:lineRule="auto"/>
        <w:ind w:firstLine="480"/>
      </w:pPr>
      <w:r>
        <w:rPr>
          <w:rFonts w:ascii="Times New Roman" w:hAnsi="Times New Roman" w:eastAsia="宋体" w:cs="Times New Roman"/>
          <w:sz w:val="24"/>
          <w:szCs w:val="24"/>
        </w:rPr>
        <w:t>1.5.2 报名文件的修改</w:t>
      </w:r>
    </w:p>
    <w:p w14:paraId="41760AE4">
      <w:pPr>
        <w:spacing w:before="0" w:after="80" w:line="360" w:lineRule="auto"/>
        <w:ind w:left="480"/>
      </w:pPr>
      <w:r>
        <w:rPr>
          <w:rFonts w:ascii="Times New Roman" w:hAnsi="Times New Roman" w:eastAsia="宋体" w:cs="Times New Roman"/>
          <w:sz w:val="24"/>
          <w:szCs w:val="24"/>
        </w:rPr>
        <w:t>(1) 报名文件递交后，如果报名方提出书面修改和撤选要求，在报名截止日期前送达公开采购方者，公开采购方可以予以接受。但不退回报名文件。</w:t>
      </w:r>
    </w:p>
    <w:p w14:paraId="136BB998">
      <w:pPr>
        <w:spacing w:before="0" w:after="80" w:line="360" w:lineRule="auto"/>
        <w:ind w:left="480"/>
      </w:pPr>
      <w:r>
        <w:rPr>
          <w:rFonts w:ascii="Times New Roman" w:hAnsi="Times New Roman" w:eastAsia="宋体" w:cs="Times New Roman"/>
          <w:sz w:val="24"/>
          <w:szCs w:val="24"/>
        </w:rPr>
        <w:t>(2) 报名方修改报名文件的书面材料，须密封送达公开采购方。</w:t>
      </w:r>
    </w:p>
    <w:p w14:paraId="1B7D0DA4">
      <w:pPr>
        <w:pStyle w:val="2"/>
      </w:pPr>
      <w:bookmarkStart w:id="6" w:name="_Toc7566"/>
      <w:r>
        <w:rPr>
          <w:rFonts w:ascii="Times New Roman" w:hAnsi="Times New Roman" w:eastAsia="黑体" w:cs="Times New Roman"/>
          <w:b/>
          <w:bCs/>
          <w:sz w:val="30"/>
          <w:szCs w:val="30"/>
        </w:rPr>
        <w:t>1.6 公开评选</w:t>
      </w:r>
      <w:bookmarkEnd w:id="6"/>
    </w:p>
    <w:p w14:paraId="5ECC9BAF">
      <w:pPr>
        <w:spacing w:before="0" w:after="80" w:line="360" w:lineRule="auto"/>
        <w:ind w:firstLine="480"/>
      </w:pPr>
      <w:r>
        <w:rPr>
          <w:rFonts w:ascii="Times New Roman" w:hAnsi="Times New Roman" w:eastAsia="宋体" w:cs="Times New Roman"/>
          <w:sz w:val="24"/>
          <w:szCs w:val="24"/>
        </w:rPr>
        <w:t>1.6.1 公开评选</w:t>
      </w:r>
    </w:p>
    <w:p w14:paraId="52B8D915">
      <w:pPr>
        <w:spacing w:before="0" w:after="80" w:line="360" w:lineRule="auto"/>
        <w:ind w:firstLine="480"/>
      </w:pPr>
      <w:r>
        <w:rPr>
          <w:rFonts w:ascii="Times New Roman" w:hAnsi="Times New Roman" w:eastAsia="宋体" w:cs="Times New Roman"/>
          <w:sz w:val="24"/>
          <w:szCs w:val="24"/>
        </w:rPr>
        <w:t>若公开采购人认为需要推迟报名截止日期和评选日期，将向每一个可能的报名人发出任何有关推迟上述日期的书面通知。</w:t>
      </w:r>
    </w:p>
    <w:p w14:paraId="1B4EAA5B">
      <w:pPr>
        <w:spacing w:before="0" w:after="80" w:line="360" w:lineRule="auto"/>
        <w:ind w:firstLine="480"/>
      </w:pPr>
      <w:r>
        <w:rPr>
          <w:rFonts w:ascii="Times New Roman" w:hAnsi="Times New Roman" w:eastAsia="宋体" w:cs="Times New Roman"/>
          <w:sz w:val="24"/>
          <w:szCs w:val="24"/>
        </w:rPr>
        <w:t>1.6.2 报名澄清</w:t>
      </w:r>
    </w:p>
    <w:p w14:paraId="2BE80ADD">
      <w:pPr>
        <w:spacing w:before="0" w:after="80" w:line="360" w:lineRule="auto"/>
        <w:ind w:firstLine="480"/>
      </w:pPr>
      <w:r>
        <w:rPr>
          <w:rFonts w:ascii="Times New Roman" w:hAnsi="Times New Roman" w:eastAsia="宋体" w:cs="Times New Roman"/>
          <w:sz w:val="24"/>
          <w:szCs w:val="24"/>
        </w:rPr>
        <w:t>公开采购方有权就报名文件中含糊之处向报名方提出询问或澄清要求。报名方必须按照公开采购方通知的时间、地点进行答疑和澄清。必要时，公开采购方可要求报名方就澄清的问题作书面回答，该书面回答应有报名方全权代表的签章，并作为报名内容的一部分。</w:t>
      </w:r>
    </w:p>
    <w:p w14:paraId="106FA811">
      <w:pPr>
        <w:spacing w:before="0" w:after="80" w:line="360" w:lineRule="auto"/>
        <w:ind w:firstLine="480"/>
      </w:pPr>
      <w:r>
        <w:rPr>
          <w:rFonts w:ascii="Times New Roman" w:hAnsi="Times New Roman" w:eastAsia="宋体" w:cs="Times New Roman"/>
          <w:sz w:val="24"/>
          <w:szCs w:val="24"/>
        </w:rPr>
        <w:t>1.6.3 评分</w:t>
      </w:r>
    </w:p>
    <w:p w14:paraId="0C86306F">
      <w:pPr>
        <w:spacing w:before="0" w:after="80" w:line="360" w:lineRule="auto"/>
        <w:ind w:left="480"/>
      </w:pPr>
      <w:r>
        <w:rPr>
          <w:rFonts w:ascii="Times New Roman" w:hAnsi="Times New Roman" w:eastAsia="宋体" w:cs="Times New Roman"/>
          <w:sz w:val="24"/>
          <w:szCs w:val="24"/>
        </w:rPr>
        <w:t>(1) 公开评选日期为：2026 年</w:t>
      </w:r>
      <w:r>
        <w:rPr>
          <w:rFonts w:hint="eastAsia" w:cs="Times New Roman"/>
          <w:sz w:val="24"/>
          <w:szCs w:val="24"/>
          <w:lang w:val="en-US" w:eastAsia="zh-CN"/>
        </w:rPr>
        <w:t>9</w:t>
      </w:r>
      <w:r>
        <w:rPr>
          <w:rFonts w:ascii="Times New Roman" w:hAnsi="Times New Roman" w:eastAsia="宋体" w:cs="Times New Roman"/>
          <w:sz w:val="24"/>
          <w:szCs w:val="24"/>
        </w:rPr>
        <w:t xml:space="preserve"> 月</w:t>
      </w:r>
      <w:r>
        <w:rPr>
          <w:rFonts w:hint="eastAsia" w:cs="Times New Roman"/>
          <w:sz w:val="24"/>
          <w:szCs w:val="24"/>
          <w:lang w:val="en-US" w:eastAsia="zh-CN"/>
        </w:rPr>
        <w:t>30</w:t>
      </w:r>
      <w:r>
        <w:rPr>
          <w:rFonts w:ascii="Times New Roman" w:hAnsi="Times New Roman" w:eastAsia="宋体" w:cs="Times New Roman"/>
          <w:sz w:val="24"/>
          <w:szCs w:val="24"/>
        </w:rPr>
        <w:t>日。</w:t>
      </w:r>
    </w:p>
    <w:p w14:paraId="6394D483">
      <w:pPr>
        <w:spacing w:before="0" w:after="80" w:line="360" w:lineRule="auto"/>
        <w:ind w:left="480"/>
      </w:pPr>
      <w:r>
        <w:rPr>
          <w:rFonts w:ascii="Times New Roman" w:hAnsi="Times New Roman" w:eastAsia="宋体" w:cs="Times New Roman"/>
          <w:sz w:val="24"/>
          <w:szCs w:val="24"/>
        </w:rPr>
        <w:t>(2) 公开采购方评分小组对具备实质性的报名文件进行评估和比较。评分小组成员由公开采购方相关人员组成。</w:t>
      </w:r>
    </w:p>
    <w:p w14:paraId="74415C4A">
      <w:pPr>
        <w:spacing w:before="0" w:after="80" w:line="360" w:lineRule="auto"/>
        <w:ind w:left="480"/>
      </w:pPr>
      <w:r>
        <w:rPr>
          <w:rFonts w:ascii="Times New Roman" w:hAnsi="Times New Roman" w:eastAsia="宋体" w:cs="Times New Roman"/>
          <w:sz w:val="24"/>
          <w:szCs w:val="24"/>
        </w:rPr>
        <w:t>(3) 评分原则</w:t>
      </w:r>
    </w:p>
    <w:p w14:paraId="59EBA8A4">
      <w:pPr>
        <w:spacing w:before="0" w:after="80" w:line="360" w:lineRule="auto"/>
        <w:ind w:left="480"/>
      </w:pPr>
      <w:r>
        <w:rPr>
          <w:rFonts w:ascii="Times New Roman" w:hAnsi="Times New Roman" w:eastAsia="宋体" w:cs="Times New Roman"/>
          <w:sz w:val="24"/>
          <w:szCs w:val="24"/>
        </w:rPr>
        <w:t>评分严格按照公开采购文件的要求和条件进行。评分考虑证券公司整体资质及承销能力（40%）、服务报价（25%）及整体服务方案评价（35%）。</w:t>
      </w:r>
    </w:p>
    <w:p w14:paraId="79F1DF64">
      <w:pPr>
        <w:spacing w:before="0" w:after="80" w:line="360" w:lineRule="auto"/>
        <w:ind w:left="480"/>
      </w:pPr>
      <w:r>
        <w:rPr>
          <w:rFonts w:ascii="Times New Roman" w:hAnsi="Times New Roman" w:eastAsia="宋体" w:cs="Times New Roman"/>
          <w:sz w:val="24"/>
          <w:szCs w:val="24"/>
        </w:rPr>
        <w:t>(4) 评审小组根据报名文件，按照评分标准进行评分，计算各报名人的总得分，根据总得分进行排名；评分标准详见附件 1。</w:t>
      </w:r>
    </w:p>
    <w:p w14:paraId="5FC67AE3">
      <w:pPr>
        <w:spacing w:before="0" w:after="80" w:line="360" w:lineRule="auto"/>
        <w:ind w:left="480"/>
      </w:pPr>
      <w:r>
        <w:rPr>
          <w:rFonts w:ascii="Times New Roman" w:hAnsi="Times New Roman" w:eastAsia="宋体" w:cs="Times New Roman"/>
          <w:sz w:val="24"/>
          <w:szCs w:val="24"/>
        </w:rPr>
        <w:t>(5) 汇总评分，总得分排名前 12 名的证券公司为中选承销商。后续每期可续期公司债发行时，由采购人根据当时的市场情况及业务情况选择若干家单位进行承销。</w:t>
      </w:r>
    </w:p>
    <w:p w14:paraId="1A31190C">
      <w:pPr>
        <w:spacing w:before="0" w:after="80" w:line="360" w:lineRule="auto"/>
        <w:ind w:left="480"/>
      </w:pPr>
      <w:r>
        <w:rPr>
          <w:rFonts w:ascii="Times New Roman" w:hAnsi="Times New Roman" w:eastAsia="宋体" w:cs="Times New Roman"/>
          <w:sz w:val="24"/>
          <w:szCs w:val="24"/>
        </w:rPr>
        <w:t>(6) 若出现证券公司总得分并列第 12 名的情况，则取整体服务方案评价项得分较高的证券公司进入本次可续期公司债的承销团。</w:t>
      </w:r>
    </w:p>
    <w:p w14:paraId="7245E115">
      <w:pPr>
        <w:spacing w:before="0" w:after="80" w:line="360" w:lineRule="auto"/>
        <w:ind w:left="480"/>
      </w:pPr>
      <w:r>
        <w:rPr>
          <w:rFonts w:ascii="Times New Roman" w:hAnsi="Times New Roman" w:eastAsia="宋体" w:cs="Times New Roman"/>
          <w:sz w:val="24"/>
          <w:szCs w:val="24"/>
        </w:rPr>
        <w:t>(7) 中选供应商证券公司承销费率报价去掉最低报价及最高报价后计算平均值作为所有成交证券公司成交承销费率。各报名机构应按照监管要求依法合规报名，承销费率报价需符合监管及自律组织约束线要求。</w:t>
      </w:r>
    </w:p>
    <w:p w14:paraId="57D06C8E">
      <w:pPr>
        <w:spacing w:before="0" w:after="80" w:line="360" w:lineRule="auto"/>
        <w:ind w:left="480"/>
      </w:pPr>
      <w:r>
        <w:rPr>
          <w:rFonts w:ascii="Times New Roman" w:hAnsi="Times New Roman" w:eastAsia="宋体" w:cs="Times New Roman"/>
          <w:sz w:val="24"/>
          <w:szCs w:val="24"/>
        </w:rPr>
        <w:t>(8) 若出现报名证券公司少于或等于 12 家的情况，报名证券公司皆为中选供应商。</w:t>
      </w:r>
    </w:p>
    <w:p w14:paraId="3AF4922D">
      <w:pPr>
        <w:pStyle w:val="2"/>
      </w:pPr>
      <w:bookmarkStart w:id="7" w:name="_Toc21505"/>
      <w:r>
        <w:rPr>
          <w:rFonts w:ascii="Times New Roman" w:hAnsi="Times New Roman" w:eastAsia="黑体" w:cs="Times New Roman"/>
          <w:b/>
          <w:bCs/>
          <w:sz w:val="30"/>
          <w:szCs w:val="30"/>
        </w:rPr>
        <w:t>1.7 公开采购要求</w:t>
      </w:r>
      <w:bookmarkEnd w:id="7"/>
    </w:p>
    <w:p w14:paraId="4C452C1A">
      <w:pPr>
        <w:spacing w:before="0" w:after="80" w:line="360" w:lineRule="auto"/>
        <w:ind w:firstLine="480"/>
      </w:pPr>
      <w:r>
        <w:rPr>
          <w:rFonts w:ascii="Times New Roman" w:hAnsi="Times New Roman" w:eastAsia="宋体" w:cs="Times New Roman"/>
          <w:sz w:val="24"/>
          <w:szCs w:val="24"/>
        </w:rPr>
        <w:t>1.7.1 报名方代表若不是报名方法定代表人，须持有《法定代表人授权书》才可进行相关报名活动。</w:t>
      </w:r>
    </w:p>
    <w:p w14:paraId="51143F87">
      <w:pPr>
        <w:spacing w:before="0" w:after="80" w:line="360" w:lineRule="auto"/>
        <w:ind w:firstLine="480"/>
      </w:pPr>
      <w:r>
        <w:rPr>
          <w:rFonts w:ascii="Times New Roman" w:hAnsi="Times New Roman" w:eastAsia="宋体" w:cs="Times New Roman"/>
          <w:sz w:val="24"/>
          <w:szCs w:val="24"/>
        </w:rPr>
        <w:t>1.7.2 无论报名过程中的做法和结果如何，报名方自行承担所有与参加报名有关的全部费用。</w:t>
      </w:r>
    </w:p>
    <w:p w14:paraId="43A1D0E0">
      <w:pPr>
        <w:spacing w:before="0" w:after="80" w:line="360" w:lineRule="auto"/>
        <w:ind w:firstLine="480"/>
      </w:pPr>
      <w:r>
        <w:rPr>
          <w:rFonts w:ascii="Times New Roman" w:hAnsi="Times New Roman" w:eastAsia="宋体" w:cs="Times New Roman"/>
          <w:sz w:val="24"/>
          <w:szCs w:val="24"/>
        </w:rPr>
        <w:t>1.7.3 报名方在报名时，必须提供项目整体方案，并按照报名文件要求的规则提供详尽内容，报名资料需以 Word 文档格式提供。</w:t>
      </w:r>
    </w:p>
    <w:p w14:paraId="0616B389">
      <w:pPr>
        <w:spacing w:before="0" w:after="80" w:line="360" w:lineRule="auto"/>
        <w:ind w:firstLine="480"/>
      </w:pPr>
      <w:r>
        <w:rPr>
          <w:rFonts w:ascii="Times New Roman" w:hAnsi="Times New Roman" w:eastAsia="宋体" w:cs="Times New Roman"/>
          <w:sz w:val="24"/>
          <w:szCs w:val="24"/>
        </w:rPr>
        <w:t>1.7.4 报名文件及来往函件的文字应使用中文简体，计量单位应使用国内标准计量单位。</w:t>
      </w:r>
    </w:p>
    <w:p w14:paraId="11124F90">
      <w:pPr>
        <w:spacing w:before="0" w:after="80" w:line="360" w:lineRule="auto"/>
        <w:ind w:firstLine="480"/>
      </w:pPr>
      <w:r>
        <w:rPr>
          <w:rFonts w:ascii="Times New Roman" w:hAnsi="Times New Roman" w:eastAsia="宋体" w:cs="Times New Roman"/>
          <w:sz w:val="24"/>
          <w:szCs w:val="24"/>
        </w:rPr>
        <w:t>1.7.5 报名文件中涉及金额的部分应以人民币单位计价，最终合计报价应折合为人民币含税价。</w:t>
      </w:r>
    </w:p>
    <w:p w14:paraId="77A97185">
      <w:pPr>
        <w:spacing w:before="0" w:after="80" w:line="360" w:lineRule="auto"/>
        <w:ind w:firstLine="480"/>
      </w:pPr>
      <w:r>
        <w:rPr>
          <w:rFonts w:ascii="Times New Roman" w:hAnsi="Times New Roman" w:eastAsia="宋体" w:cs="Times New Roman"/>
          <w:sz w:val="24"/>
          <w:szCs w:val="24"/>
        </w:rPr>
        <w:t>1.7.6 报名人无权对本公开采购书的内容作任何改动。对于公开采购文件，除非报名人在报名文件中特别注明，否则报名人将被视作接受并同意本公开采购书的所有条款。</w:t>
      </w:r>
    </w:p>
    <w:p w14:paraId="22B18D21">
      <w:pPr>
        <w:spacing w:before="0" w:after="80" w:line="360" w:lineRule="auto"/>
        <w:ind w:firstLine="480"/>
      </w:pPr>
      <w:r>
        <w:rPr>
          <w:rFonts w:ascii="Times New Roman" w:hAnsi="Times New Roman" w:eastAsia="宋体" w:cs="Times New Roman"/>
          <w:sz w:val="24"/>
          <w:szCs w:val="24"/>
        </w:rPr>
        <w:t>1.7.7 本次厦门国贸控股集团有限公司注册发行可续期公司债承销商选聘公开采购项目严格按照相关法律法规执行，严禁报名单位串选等干扰本次公开采购活动行为，严禁报名文件弄虚作假。</w:t>
      </w:r>
    </w:p>
    <w:p w14:paraId="210A8B3B">
      <w:pPr>
        <w:spacing w:before="0" w:after="80" w:line="360" w:lineRule="auto"/>
        <w:ind w:firstLine="480"/>
      </w:pPr>
      <w:r>
        <w:rPr>
          <w:rFonts w:ascii="Times New Roman" w:hAnsi="Times New Roman" w:eastAsia="宋体" w:cs="Times New Roman"/>
          <w:sz w:val="24"/>
          <w:szCs w:val="24"/>
        </w:rPr>
        <w:t>1.7.8 为保证公开采购、评分的公正性，在评分过程中，报名人不得以任何名义与公开采购项目公开采购方相关人员私下接触涉及招报名的相关信息。</w:t>
      </w:r>
    </w:p>
    <w:p w14:paraId="2B86236C">
      <w:pPr>
        <w:spacing w:before="0" w:after="80" w:line="360" w:lineRule="auto"/>
        <w:ind w:firstLine="480"/>
      </w:pPr>
      <w:r>
        <w:rPr>
          <w:rFonts w:ascii="Times New Roman" w:hAnsi="Times New Roman" w:eastAsia="宋体" w:cs="Times New Roman"/>
          <w:sz w:val="24"/>
          <w:szCs w:val="24"/>
        </w:rPr>
        <w:t>1.7.9 公开采购文件的解释权归厦门国贸控股集团有限公司。</w:t>
      </w:r>
    </w:p>
    <w:p w14:paraId="5E4F9BBD">
      <w:pPr>
        <w:pStyle w:val="2"/>
        <w:pageBreakBefore/>
      </w:pPr>
      <w:bookmarkStart w:id="8" w:name="_Toc31650"/>
      <w:r>
        <w:rPr>
          <w:rFonts w:ascii="Times New Roman" w:hAnsi="Times New Roman" w:eastAsia="黑体" w:cs="Times New Roman"/>
          <w:b/>
          <w:bCs/>
          <w:sz w:val="30"/>
          <w:szCs w:val="30"/>
        </w:rPr>
        <w:t>2. 公开采购项目概况</w:t>
      </w:r>
      <w:bookmarkEnd w:id="8"/>
    </w:p>
    <w:p w14:paraId="0BB9C7FF">
      <w:pPr>
        <w:pStyle w:val="2"/>
      </w:pPr>
      <w:bookmarkStart w:id="9" w:name="_Toc4997"/>
      <w:r>
        <w:rPr>
          <w:rFonts w:ascii="Times New Roman" w:hAnsi="Times New Roman" w:eastAsia="黑体" w:cs="Times New Roman"/>
          <w:b/>
          <w:bCs/>
          <w:sz w:val="30"/>
          <w:szCs w:val="30"/>
        </w:rPr>
        <w:t>2.1 公开采购单位介绍</w:t>
      </w:r>
      <w:bookmarkEnd w:id="9"/>
    </w:p>
    <w:p w14:paraId="2124D863">
      <w:pPr>
        <w:spacing w:before="0" w:after="80" w:line="360" w:lineRule="auto"/>
        <w:ind w:firstLine="480"/>
      </w:pPr>
      <w:r>
        <w:rPr>
          <w:rFonts w:ascii="Times New Roman" w:hAnsi="Times New Roman" w:eastAsia="宋体" w:cs="Times New Roman"/>
          <w:sz w:val="24"/>
          <w:szCs w:val="24"/>
        </w:rPr>
        <w:t>厦门国贸控股集团有限公司（以下简称“本公司”或“公司”）原名厦门市商贸国有资产投资有限公司，2016 年 12 月本公司更名为厦门国贸控股集团有限公司。厦门国贸控股集团有限公司为厦门市属国有企业集团，系《财富》世界 500 强、世界品牌 500 强、中国企业 500 强、全国脱贫攻坚先进集体、全国守合同重信用企业、中国内部审计示范企业。“十四五”期间，公司战略规划布局“供应链、先进制造、城市建设运营、消费与健康、金融服务”五大赛道，统筹推进经营发展。</w:t>
      </w:r>
    </w:p>
    <w:p w14:paraId="6541D8E2">
      <w:pPr>
        <w:spacing w:before="0" w:after="80" w:line="360" w:lineRule="auto"/>
        <w:ind w:firstLine="480"/>
      </w:pPr>
      <w:r>
        <w:rPr>
          <w:rFonts w:ascii="Times New Roman" w:hAnsi="Times New Roman" w:eastAsia="宋体" w:cs="Times New Roman"/>
          <w:sz w:val="24"/>
          <w:szCs w:val="24"/>
        </w:rPr>
        <w:t>公司全资和控股主要成员企业有厦门国贸集团股份有限公司、厦门信达股份有限公司、厦门海翼集团有限公司、厦门国贸地产集团有限公司、厦门国贸资本集团有限公司、中红普林集团有限公司、厦门国贸教育集团有限公司、厦门国贸会展集团有限公司、中国正通汽车服务控股有限公司等。</w:t>
      </w:r>
    </w:p>
    <w:p w14:paraId="01FA832B">
      <w:pPr>
        <w:spacing w:before="0" w:after="80" w:line="360" w:lineRule="auto"/>
        <w:ind w:firstLine="480"/>
      </w:pPr>
      <w:r>
        <w:rPr>
          <w:rFonts w:ascii="Times New Roman" w:hAnsi="Times New Roman" w:eastAsia="宋体" w:cs="Times New Roman"/>
          <w:sz w:val="24"/>
          <w:szCs w:val="24"/>
        </w:rPr>
        <w:t>公司坚持以“引领优势产业，创造美好生活”为使命，秉承“一流引领、真实担当、奋斗为本、共创共享”的核心价值观，弘扬“大舞台、大学校、大家园”的企业文化，按照现代企业的法人治理结构规范公司的生产经营管理工作，致力于成为引领优势产业和美好生活的世界一流企业。</w:t>
      </w:r>
    </w:p>
    <w:p w14:paraId="4B706E6A">
      <w:pPr>
        <w:spacing w:before="0" w:after="80" w:line="360" w:lineRule="auto"/>
        <w:ind w:firstLine="480"/>
      </w:pPr>
      <w:r>
        <w:rPr>
          <w:rFonts w:ascii="Times New Roman" w:hAnsi="Times New Roman" w:eastAsia="宋体" w:cs="Times New Roman"/>
          <w:sz w:val="24"/>
          <w:szCs w:val="24"/>
        </w:rPr>
        <w:t>未尽资料请参阅 http://www.itgholding.com.cn/ 查阅。</w:t>
      </w:r>
    </w:p>
    <w:p w14:paraId="4BF14D27">
      <w:pPr>
        <w:pStyle w:val="2"/>
        <w:pageBreakBefore/>
      </w:pPr>
      <w:bookmarkStart w:id="10" w:name="_Toc4215"/>
      <w:r>
        <w:rPr>
          <w:rFonts w:ascii="Times New Roman" w:hAnsi="Times New Roman" w:eastAsia="黑体" w:cs="Times New Roman"/>
          <w:b/>
          <w:bCs/>
          <w:sz w:val="30"/>
          <w:szCs w:val="30"/>
        </w:rPr>
        <w:t>3. 公开采购项目内容要求</w:t>
      </w:r>
      <w:bookmarkEnd w:id="10"/>
    </w:p>
    <w:p w14:paraId="38ED3D62">
      <w:pPr>
        <w:pStyle w:val="2"/>
      </w:pPr>
      <w:bookmarkStart w:id="11" w:name="_Toc14595"/>
      <w:r>
        <w:rPr>
          <w:rFonts w:ascii="Times New Roman" w:hAnsi="Times New Roman" w:eastAsia="黑体" w:cs="Times New Roman"/>
          <w:b/>
          <w:bCs/>
          <w:sz w:val="30"/>
          <w:szCs w:val="30"/>
        </w:rPr>
        <w:t>3.1 公开采购项目服务内容要求</w:t>
      </w:r>
      <w:bookmarkEnd w:id="11"/>
    </w:p>
    <w:p w14:paraId="37F07C9E">
      <w:pPr>
        <w:spacing w:before="0" w:after="80" w:line="360" w:lineRule="auto"/>
        <w:ind w:firstLine="480"/>
      </w:pPr>
      <w:r>
        <w:rPr>
          <w:rFonts w:ascii="Times New Roman" w:hAnsi="Times New Roman" w:eastAsia="宋体" w:cs="Times New Roman"/>
          <w:sz w:val="24"/>
          <w:szCs w:val="24"/>
        </w:rPr>
        <w:t>厦门国贸控股集团有限公司拟于 2026 年—2027 年（可分为一次或多次）向上海证券交易所或深圳证券交易所申请注册发行总额不超过人民币 70 亿元（含 70 亿元）的可续期公司债，债券发行方式根据市场实际情况灵活确定，本项目由此次公开采购的中选方负责承销。承销商需承担以下服务内容：</w:t>
      </w:r>
    </w:p>
    <w:p w14:paraId="50DCEE58">
      <w:pPr>
        <w:spacing w:before="0" w:after="80" w:line="360" w:lineRule="auto"/>
        <w:ind w:firstLine="480"/>
      </w:pPr>
      <w:r>
        <w:rPr>
          <w:rFonts w:ascii="Times New Roman" w:hAnsi="Times New Roman" w:eastAsia="宋体" w:cs="Times New Roman"/>
          <w:sz w:val="24"/>
          <w:szCs w:val="24"/>
        </w:rPr>
        <w:t>(1) 注册：设计可续期公司债的注册发行方案；统筹律所、评级机构等中介在可续期公司债注册发行过程中的工作；编写募集说明书，整理汇总注册可续期公司债所需材料并报送证券交易所审核，与证券交易所沟通协调，推进可续期公司债在约定时间内尽快取得批文。</w:t>
      </w:r>
    </w:p>
    <w:p w14:paraId="63380D94">
      <w:pPr>
        <w:spacing w:before="0" w:after="80" w:line="360" w:lineRule="auto"/>
        <w:ind w:firstLine="480"/>
      </w:pPr>
      <w:r>
        <w:rPr>
          <w:rFonts w:ascii="Times New Roman" w:hAnsi="Times New Roman" w:eastAsia="宋体" w:cs="Times New Roman"/>
          <w:sz w:val="24"/>
          <w:szCs w:val="24"/>
        </w:rPr>
        <w:t>(2) 发行：针对各期可续期公司债的发行计划，寻找投资者，完成债券的推介工作，选择最佳时机发行债券募得资金。</w:t>
      </w:r>
    </w:p>
    <w:p w14:paraId="5D4E2623">
      <w:pPr>
        <w:spacing w:before="0" w:after="80" w:line="360" w:lineRule="auto"/>
        <w:ind w:firstLine="480"/>
      </w:pPr>
      <w:r>
        <w:rPr>
          <w:rFonts w:ascii="Times New Roman" w:hAnsi="Times New Roman" w:eastAsia="宋体" w:cs="Times New Roman"/>
          <w:sz w:val="24"/>
          <w:szCs w:val="24"/>
        </w:rPr>
        <w:t>(3) 余额包销：债券发行时若出现投资者认购不足的情况，承销商承担余额包销责任。</w:t>
      </w:r>
    </w:p>
    <w:p w14:paraId="199A31A5">
      <w:pPr>
        <w:spacing w:before="0" w:after="80" w:line="360" w:lineRule="auto"/>
        <w:ind w:firstLine="480"/>
      </w:pPr>
      <w:r>
        <w:rPr>
          <w:rFonts w:ascii="Times New Roman" w:hAnsi="Times New Roman" w:eastAsia="宋体" w:cs="Times New Roman"/>
          <w:sz w:val="24"/>
          <w:szCs w:val="24"/>
        </w:rPr>
        <w:t>(4) 债券存续期维护：协助本公司完成可续期公司债存续期间还本付息和信息披露工作。</w:t>
      </w:r>
    </w:p>
    <w:p w14:paraId="01207207">
      <w:pPr>
        <w:pStyle w:val="2"/>
        <w:pageBreakBefore/>
      </w:pPr>
      <w:bookmarkStart w:id="12" w:name="_Toc22949"/>
      <w:r>
        <w:rPr>
          <w:rFonts w:ascii="Times New Roman" w:hAnsi="Times New Roman" w:eastAsia="黑体" w:cs="Times New Roman"/>
          <w:b/>
          <w:bCs/>
          <w:sz w:val="30"/>
          <w:szCs w:val="30"/>
        </w:rPr>
        <w:t>4. 服务期限</w:t>
      </w:r>
      <w:bookmarkEnd w:id="12"/>
    </w:p>
    <w:p w14:paraId="5AE308DB">
      <w:pPr>
        <w:spacing w:before="0" w:after="80" w:line="360" w:lineRule="auto"/>
        <w:ind w:firstLine="480"/>
      </w:pPr>
      <w:r>
        <w:rPr>
          <w:rFonts w:ascii="Times New Roman" w:hAnsi="Times New Roman" w:eastAsia="宋体" w:cs="Times New Roman"/>
          <w:sz w:val="24"/>
          <w:szCs w:val="24"/>
        </w:rPr>
        <w:t>服务期限自启动注册可续期公司债工作至所注册可续期公司债项下所有债券皆兑付完成为止。</w:t>
      </w:r>
    </w:p>
    <w:p w14:paraId="774B83F9">
      <w:pPr>
        <w:pStyle w:val="2"/>
        <w:pageBreakBefore/>
      </w:pPr>
      <w:bookmarkStart w:id="13" w:name="_Toc32670"/>
      <w:r>
        <w:rPr>
          <w:rFonts w:ascii="Times New Roman" w:hAnsi="Times New Roman" w:eastAsia="黑体" w:cs="Times New Roman"/>
          <w:b/>
          <w:bCs/>
          <w:sz w:val="30"/>
          <w:szCs w:val="30"/>
        </w:rPr>
        <w:t>5. 报价要求</w:t>
      </w:r>
      <w:bookmarkEnd w:id="13"/>
    </w:p>
    <w:p w14:paraId="248AD7B3">
      <w:pPr>
        <w:spacing w:before="0" w:after="80" w:line="360" w:lineRule="auto"/>
        <w:ind w:firstLine="480"/>
      </w:pPr>
      <w:r>
        <w:rPr>
          <w:rFonts w:ascii="Times New Roman" w:hAnsi="Times New Roman" w:eastAsia="宋体" w:cs="Times New Roman"/>
          <w:sz w:val="24"/>
          <w:szCs w:val="24"/>
        </w:rPr>
        <w:t>1、证券公司发行债券的承销费率。公开采购人（发行方）支付给中选供应商（承销商）承销费金额计算方式如下：承销费 = 当期债券发行面值总额 × 承销费率×</w:t>
      </w:r>
      <w:r>
        <w:rPr>
          <w:rFonts w:hint="eastAsia" w:cs="Times New Roman"/>
          <w:sz w:val="24"/>
          <w:szCs w:val="24"/>
          <w:lang w:val="en-US" w:eastAsia="zh-CN"/>
        </w:rPr>
        <w:t>债券期限</w:t>
      </w:r>
      <w:r>
        <w:rPr>
          <w:rFonts w:ascii="Times New Roman" w:hAnsi="Times New Roman" w:eastAsia="宋体" w:cs="Times New Roman"/>
          <w:sz w:val="24"/>
          <w:szCs w:val="24"/>
        </w:rPr>
        <w:t>。</w:t>
      </w:r>
    </w:p>
    <w:p w14:paraId="34E533EF">
      <w:pPr>
        <w:spacing w:before="0" w:after="80" w:line="360" w:lineRule="auto"/>
        <w:ind w:firstLine="480"/>
      </w:pPr>
      <w:r>
        <w:rPr>
          <w:rFonts w:ascii="Times New Roman" w:hAnsi="Times New Roman" w:eastAsia="宋体" w:cs="Times New Roman"/>
          <w:sz w:val="24"/>
          <w:szCs w:val="24"/>
        </w:rPr>
        <w:t>本次报名的承销费率报价</w:t>
      </w:r>
      <w:r>
        <w:rPr>
          <w:rFonts w:hint="eastAsia" w:cs="Times New Roman"/>
          <w:sz w:val="24"/>
          <w:szCs w:val="24"/>
          <w:lang w:eastAsia="zh-CN"/>
        </w:rPr>
        <w:t>下</w:t>
      </w:r>
      <w:r>
        <w:rPr>
          <w:rFonts w:hint="eastAsia" w:ascii="Times New Roman" w:hAnsi="Times New Roman" w:eastAsia="宋体" w:cs="Times New Roman"/>
          <w:sz w:val="24"/>
          <w:szCs w:val="24"/>
        </w:rPr>
        <w:t>限为年化0.058%、上限为年化 0.08%，费率报价的增价幅度必须为0.002%的整数倍</w:t>
      </w:r>
      <w:r>
        <w:rPr>
          <w:rFonts w:ascii="Times New Roman" w:hAnsi="Times New Roman" w:eastAsia="宋体" w:cs="Times New Roman"/>
          <w:sz w:val="24"/>
          <w:szCs w:val="24"/>
        </w:rPr>
        <w:t>。公开采购人最终将按公开采购文件确定的方式核算各中选供应商最终承销费费用。</w:t>
      </w:r>
    </w:p>
    <w:p w14:paraId="39CE09C6">
      <w:pPr>
        <w:numPr>
          <w:ilvl w:val="0"/>
          <w:numId w:val="1"/>
        </w:numPr>
        <w:spacing w:before="0" w:after="80" w:line="360" w:lineRule="auto"/>
        <w:ind w:firstLine="480"/>
        <w:rPr>
          <w:rFonts w:ascii="Times New Roman" w:hAnsi="Times New Roman" w:eastAsia="宋体" w:cs="Times New Roman"/>
          <w:sz w:val="24"/>
          <w:szCs w:val="24"/>
        </w:rPr>
      </w:pPr>
      <w:r>
        <w:rPr>
          <w:rFonts w:hint="eastAsia" w:ascii="Times New Roman" w:hAnsi="Times New Roman" w:eastAsia="宋体" w:cs="Times New Roman"/>
          <w:sz w:val="24"/>
          <w:szCs w:val="24"/>
        </w:rPr>
        <w:t>报价均为</w:t>
      </w:r>
      <w:bookmarkStart w:id="17" w:name="_GoBack"/>
      <w:bookmarkEnd w:id="17"/>
      <w:r>
        <w:rPr>
          <w:rFonts w:hint="eastAsia" w:ascii="Times New Roman" w:hAnsi="Times New Roman" w:eastAsia="宋体" w:cs="Times New Roman"/>
          <w:sz w:val="24"/>
          <w:szCs w:val="24"/>
        </w:rPr>
        <w:t>含增值税价格、含差旅等一切费用。</w:t>
      </w:r>
    </w:p>
    <w:p w14:paraId="103477E1">
      <w:pPr>
        <w:pStyle w:val="2"/>
        <w:pageBreakBefore/>
      </w:pPr>
      <w:bookmarkStart w:id="14" w:name="_Toc12807"/>
      <w:r>
        <w:rPr>
          <w:rFonts w:ascii="Times New Roman" w:hAnsi="Times New Roman" w:eastAsia="黑体" w:cs="Times New Roman"/>
          <w:b/>
          <w:bCs/>
          <w:sz w:val="30"/>
          <w:szCs w:val="30"/>
        </w:rPr>
        <w:t>附件 1  评分标准</w:t>
      </w:r>
      <w:bookmarkEnd w:id="14"/>
    </w:p>
    <w:p w14:paraId="54D9F2C9">
      <w:pPr>
        <w:spacing w:before="0" w:after="120" w:line="360" w:lineRule="auto"/>
        <w:ind w:firstLine="48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厦门国贸控股集团有限公司</w:t>
      </w:r>
    </w:p>
    <w:p w14:paraId="25E4BD45">
      <w:pPr>
        <w:spacing w:before="0" w:after="120" w:line="360" w:lineRule="auto"/>
        <w:ind w:firstLine="480"/>
        <w:jc w:val="center"/>
      </w:pPr>
      <w:r>
        <w:rPr>
          <w:rFonts w:ascii="Times New Roman" w:hAnsi="Times New Roman" w:eastAsia="宋体" w:cs="Times New Roman"/>
          <w:b/>
          <w:bCs/>
          <w:sz w:val="24"/>
          <w:szCs w:val="24"/>
        </w:rPr>
        <w:t>可续期公司债券承销商选聘项目评分标准</w:t>
      </w:r>
    </w:p>
    <w:tbl>
      <w:tblPr>
        <w:tblStyle w:val="12"/>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0"/>
        <w:gridCol w:w="2400"/>
        <w:gridCol w:w="1100"/>
        <w:gridCol w:w="4960"/>
      </w:tblGrid>
      <w:tr w14:paraId="2B44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220E8667">
            <w:pPr>
              <w:spacing w:line="300" w:lineRule="auto"/>
              <w:jc w:val="center"/>
              <w:rPr>
                <w:sz w:val="22"/>
                <w:szCs w:val="22"/>
              </w:rPr>
            </w:pPr>
            <w:r>
              <w:rPr>
                <w:rFonts w:ascii="Times New Roman" w:hAnsi="Times New Roman" w:eastAsia="宋体" w:cs="Times New Roman"/>
                <w:b/>
                <w:bCs/>
                <w:sz w:val="20"/>
                <w:szCs w:val="20"/>
              </w:rPr>
              <w:t>序号</w:t>
            </w:r>
          </w:p>
        </w:tc>
        <w:tc>
          <w:tcPr>
            <w:tcW w:w="2400"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50BB6ED2">
            <w:pPr>
              <w:spacing w:line="300" w:lineRule="auto"/>
              <w:jc w:val="center"/>
              <w:rPr>
                <w:sz w:val="22"/>
                <w:szCs w:val="22"/>
              </w:rPr>
            </w:pPr>
            <w:r>
              <w:rPr>
                <w:rFonts w:ascii="Times New Roman" w:hAnsi="Times New Roman" w:eastAsia="宋体" w:cs="Times New Roman"/>
                <w:b/>
                <w:bCs/>
                <w:sz w:val="20"/>
                <w:szCs w:val="20"/>
              </w:rPr>
              <w:t>评价项目</w:t>
            </w:r>
          </w:p>
        </w:tc>
        <w:tc>
          <w:tcPr>
            <w:tcW w:w="1100"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3ACA95F8">
            <w:pPr>
              <w:spacing w:line="300" w:lineRule="auto"/>
              <w:jc w:val="center"/>
              <w:rPr>
                <w:sz w:val="22"/>
                <w:szCs w:val="22"/>
              </w:rPr>
            </w:pPr>
            <w:r>
              <w:rPr>
                <w:rFonts w:ascii="Times New Roman" w:hAnsi="Times New Roman" w:eastAsia="宋体" w:cs="Times New Roman"/>
                <w:b/>
                <w:bCs/>
                <w:sz w:val="20"/>
                <w:szCs w:val="20"/>
              </w:rPr>
              <w:t>分值</w:t>
            </w:r>
          </w:p>
        </w:tc>
        <w:tc>
          <w:tcPr>
            <w:tcW w:w="4960"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61BFBB5D">
            <w:pPr>
              <w:spacing w:line="300" w:lineRule="auto"/>
              <w:jc w:val="center"/>
              <w:rPr>
                <w:sz w:val="22"/>
                <w:szCs w:val="22"/>
              </w:rPr>
            </w:pPr>
            <w:r>
              <w:rPr>
                <w:rFonts w:ascii="Times New Roman" w:hAnsi="Times New Roman" w:eastAsia="宋体" w:cs="Times New Roman"/>
                <w:b/>
                <w:bCs/>
                <w:sz w:val="20"/>
                <w:szCs w:val="20"/>
              </w:rPr>
              <w:t>评分标准</w:t>
            </w:r>
          </w:p>
        </w:tc>
      </w:tr>
      <w:tr w14:paraId="5121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E75913F">
            <w:pPr>
              <w:spacing w:line="300" w:lineRule="auto"/>
              <w:jc w:val="center"/>
              <w:rPr>
                <w:sz w:val="22"/>
                <w:szCs w:val="22"/>
              </w:rPr>
            </w:pPr>
            <w:r>
              <w:rPr>
                <w:rFonts w:ascii="Times New Roman" w:hAnsi="Times New Roman" w:eastAsia="宋体" w:cs="Times New Roman"/>
                <w:sz w:val="20"/>
                <w:szCs w:val="20"/>
              </w:rPr>
              <w:t>1</w:t>
            </w:r>
          </w:p>
        </w:tc>
        <w:tc>
          <w:tcPr>
            <w:tcW w:w="24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0184632">
            <w:pPr>
              <w:spacing w:line="300" w:lineRule="auto"/>
              <w:jc w:val="center"/>
              <w:rPr>
                <w:sz w:val="22"/>
                <w:szCs w:val="22"/>
              </w:rPr>
            </w:pPr>
            <w:r>
              <w:rPr>
                <w:rFonts w:ascii="Times New Roman" w:hAnsi="Times New Roman" w:eastAsia="宋体" w:cs="Times New Roman"/>
                <w:sz w:val="20"/>
                <w:szCs w:val="20"/>
              </w:rPr>
              <w:t>证券公司整体资质</w:t>
            </w:r>
          </w:p>
          <w:p w14:paraId="2C80D48A">
            <w:pPr>
              <w:spacing w:line="300" w:lineRule="auto"/>
              <w:jc w:val="center"/>
              <w:rPr>
                <w:sz w:val="22"/>
                <w:szCs w:val="22"/>
              </w:rPr>
            </w:pPr>
            <w:r>
              <w:rPr>
                <w:rFonts w:ascii="Times New Roman" w:hAnsi="Times New Roman" w:eastAsia="宋体" w:cs="Times New Roman"/>
                <w:sz w:val="20"/>
                <w:szCs w:val="20"/>
              </w:rPr>
              <w:t>及承销能力</w:t>
            </w:r>
          </w:p>
        </w:tc>
        <w:tc>
          <w:tcPr>
            <w:tcW w:w="11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0903355">
            <w:pPr>
              <w:spacing w:line="300" w:lineRule="auto"/>
              <w:jc w:val="center"/>
              <w:rPr>
                <w:sz w:val="22"/>
                <w:szCs w:val="22"/>
              </w:rPr>
            </w:pPr>
            <w:r>
              <w:rPr>
                <w:rFonts w:ascii="Times New Roman" w:hAnsi="Times New Roman" w:eastAsia="宋体" w:cs="Times New Roman"/>
                <w:sz w:val="20"/>
                <w:szCs w:val="20"/>
              </w:rPr>
              <w:t>10</w:t>
            </w:r>
          </w:p>
        </w:tc>
        <w:tc>
          <w:tcPr>
            <w:tcW w:w="49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9B951B6">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2025 年证券公司在证监会分类等级</w:t>
            </w:r>
            <w:r>
              <w:rPr>
                <w:rFonts w:hint="eastAsia" w:cs="Times New Roman"/>
                <w:sz w:val="20"/>
                <w:szCs w:val="20"/>
                <w:lang w:eastAsia="zh-CN"/>
              </w:rPr>
              <w:t>（</w:t>
            </w:r>
            <w:r>
              <w:rPr>
                <w:rFonts w:hint="eastAsia" w:cs="Times New Roman"/>
                <w:sz w:val="20"/>
                <w:szCs w:val="20"/>
                <w:lang w:val="en-US" w:eastAsia="zh-CN"/>
              </w:rPr>
              <w:t>首项</w:t>
            </w:r>
            <w:r>
              <w:rPr>
                <w:rFonts w:hint="eastAsia" w:cs="Times New Roman"/>
                <w:sz w:val="20"/>
                <w:szCs w:val="20"/>
                <w:lang w:eastAsia="zh-CN"/>
              </w:rPr>
              <w:t>）</w:t>
            </w:r>
            <w:r>
              <w:rPr>
                <w:rFonts w:ascii="Times New Roman" w:hAnsi="Times New Roman" w:eastAsia="宋体" w:cs="Times New Roman"/>
                <w:sz w:val="20"/>
                <w:szCs w:val="20"/>
              </w:rPr>
              <w:t>：</w:t>
            </w:r>
          </w:p>
          <w:p w14:paraId="1AC9C574">
            <w:pPr>
              <w:spacing w:line="300" w:lineRule="auto"/>
              <w:jc w:val="left"/>
              <w:rPr>
                <w:sz w:val="22"/>
                <w:szCs w:val="22"/>
              </w:rPr>
            </w:pPr>
            <w:r>
              <w:rPr>
                <w:rFonts w:ascii="Times New Roman" w:hAnsi="Times New Roman" w:eastAsia="宋体" w:cs="Times New Roman"/>
                <w:sz w:val="20"/>
                <w:szCs w:val="20"/>
              </w:rPr>
              <w:t>A 类 10 分；B 类 5 分；B 类以下 0 分。</w:t>
            </w:r>
          </w:p>
        </w:tc>
      </w:tr>
      <w:tr w14:paraId="0135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FF6F586">
            <w:pPr>
              <w:spacing w:line="300" w:lineRule="auto"/>
              <w:jc w:val="left"/>
              <w:rPr>
                <w:sz w:val="22"/>
                <w:szCs w:val="22"/>
              </w:rPr>
            </w:pPr>
          </w:p>
        </w:tc>
        <w:tc>
          <w:tcPr>
            <w:tcW w:w="24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3A20C5D">
            <w:pPr>
              <w:spacing w:line="300" w:lineRule="auto"/>
              <w:jc w:val="left"/>
              <w:rPr>
                <w:sz w:val="22"/>
                <w:szCs w:val="22"/>
              </w:rPr>
            </w:pPr>
          </w:p>
        </w:tc>
        <w:tc>
          <w:tcPr>
            <w:tcW w:w="11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AA9232E">
            <w:pPr>
              <w:spacing w:line="300" w:lineRule="auto"/>
              <w:jc w:val="center"/>
              <w:rPr>
                <w:sz w:val="22"/>
                <w:szCs w:val="22"/>
              </w:rPr>
            </w:pPr>
            <w:r>
              <w:rPr>
                <w:rFonts w:ascii="Times New Roman" w:hAnsi="Times New Roman" w:eastAsia="宋体" w:cs="Times New Roman"/>
                <w:sz w:val="20"/>
                <w:szCs w:val="20"/>
              </w:rPr>
              <w:t>15</w:t>
            </w:r>
          </w:p>
        </w:tc>
        <w:tc>
          <w:tcPr>
            <w:tcW w:w="49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1DF112C">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2025 年证券公司福建债券承销排名（Wind 口径）：</w:t>
            </w:r>
          </w:p>
          <w:p w14:paraId="363F2DC9">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第 1—10 名 15 分；</w:t>
            </w:r>
          </w:p>
          <w:p w14:paraId="21310CF6">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第 11—20 名 10 分；</w:t>
            </w:r>
          </w:p>
          <w:p w14:paraId="02653B0E">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第 21—40 名 5 分；</w:t>
            </w:r>
          </w:p>
          <w:p w14:paraId="3300095A">
            <w:pPr>
              <w:spacing w:line="300" w:lineRule="auto"/>
              <w:jc w:val="left"/>
              <w:rPr>
                <w:sz w:val="22"/>
                <w:szCs w:val="22"/>
              </w:rPr>
            </w:pPr>
            <w:r>
              <w:rPr>
                <w:rFonts w:ascii="Times New Roman" w:hAnsi="Times New Roman" w:eastAsia="宋体" w:cs="Times New Roman"/>
                <w:sz w:val="20"/>
                <w:szCs w:val="20"/>
              </w:rPr>
              <w:t>第 40 名以后或无排名 0 分。</w:t>
            </w:r>
          </w:p>
        </w:tc>
      </w:tr>
      <w:tr w14:paraId="187F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19FEC7C8">
            <w:pPr>
              <w:spacing w:line="300" w:lineRule="auto"/>
              <w:jc w:val="left"/>
              <w:rPr>
                <w:sz w:val="22"/>
                <w:szCs w:val="22"/>
              </w:rPr>
            </w:pPr>
          </w:p>
        </w:tc>
        <w:tc>
          <w:tcPr>
            <w:tcW w:w="24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791AF37">
            <w:pPr>
              <w:spacing w:line="300" w:lineRule="auto"/>
              <w:jc w:val="left"/>
              <w:rPr>
                <w:sz w:val="22"/>
                <w:szCs w:val="22"/>
              </w:rPr>
            </w:pPr>
          </w:p>
        </w:tc>
        <w:tc>
          <w:tcPr>
            <w:tcW w:w="11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047C133B">
            <w:pPr>
              <w:spacing w:line="300" w:lineRule="auto"/>
              <w:jc w:val="center"/>
              <w:rPr>
                <w:sz w:val="22"/>
                <w:szCs w:val="22"/>
              </w:rPr>
            </w:pPr>
            <w:r>
              <w:rPr>
                <w:rFonts w:ascii="Times New Roman" w:hAnsi="Times New Roman" w:eastAsia="宋体" w:cs="Times New Roman"/>
                <w:sz w:val="20"/>
                <w:szCs w:val="20"/>
              </w:rPr>
              <w:t>15</w:t>
            </w:r>
          </w:p>
        </w:tc>
        <w:tc>
          <w:tcPr>
            <w:tcW w:w="49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32E84A3">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2025 年证券公司全国全口径债券承销排名（Wind 口径）：</w:t>
            </w:r>
          </w:p>
          <w:p w14:paraId="6BF4BB1E">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第 1—10 名 15 分；</w:t>
            </w:r>
          </w:p>
          <w:p w14:paraId="721A2941">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第 11—30 名 10 分；</w:t>
            </w:r>
          </w:p>
          <w:p w14:paraId="67602B38">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第 31—60 名 5 分；</w:t>
            </w:r>
          </w:p>
          <w:p w14:paraId="7DAFD1A9">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第 60 名以后或无排名 0 分。</w:t>
            </w:r>
          </w:p>
        </w:tc>
      </w:tr>
      <w:tr w14:paraId="2A89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9037F11">
            <w:pPr>
              <w:spacing w:line="300" w:lineRule="auto"/>
              <w:jc w:val="center"/>
              <w:rPr>
                <w:sz w:val="22"/>
                <w:szCs w:val="22"/>
              </w:rPr>
            </w:pPr>
            <w:r>
              <w:rPr>
                <w:rFonts w:ascii="Times New Roman" w:hAnsi="Times New Roman" w:eastAsia="宋体" w:cs="Times New Roman"/>
                <w:sz w:val="20"/>
                <w:szCs w:val="20"/>
              </w:rPr>
              <w:t>2</w:t>
            </w:r>
          </w:p>
        </w:tc>
        <w:tc>
          <w:tcPr>
            <w:tcW w:w="24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5B2E5B1">
            <w:pPr>
              <w:spacing w:line="300" w:lineRule="auto"/>
              <w:jc w:val="center"/>
              <w:rPr>
                <w:sz w:val="22"/>
                <w:szCs w:val="22"/>
              </w:rPr>
            </w:pPr>
            <w:r>
              <w:rPr>
                <w:rFonts w:ascii="Times New Roman" w:hAnsi="Times New Roman" w:eastAsia="宋体" w:cs="Times New Roman"/>
                <w:sz w:val="20"/>
                <w:szCs w:val="20"/>
              </w:rPr>
              <w:t>服务报价</w:t>
            </w:r>
          </w:p>
        </w:tc>
        <w:tc>
          <w:tcPr>
            <w:tcW w:w="11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703DE89">
            <w:pPr>
              <w:spacing w:line="300" w:lineRule="auto"/>
              <w:jc w:val="center"/>
              <w:rPr>
                <w:sz w:val="22"/>
                <w:szCs w:val="22"/>
              </w:rPr>
            </w:pPr>
            <w:r>
              <w:rPr>
                <w:rFonts w:ascii="Times New Roman" w:hAnsi="Times New Roman" w:eastAsia="宋体" w:cs="Times New Roman"/>
                <w:sz w:val="20"/>
                <w:szCs w:val="20"/>
              </w:rPr>
              <w:t>25</w:t>
            </w:r>
          </w:p>
        </w:tc>
        <w:tc>
          <w:tcPr>
            <w:tcW w:w="49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A96D095">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年化承销费率：</w:t>
            </w:r>
          </w:p>
          <w:p w14:paraId="78A2480E">
            <w:pPr>
              <w:spacing w:line="300" w:lineRule="auto"/>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0.058%</w:t>
            </w:r>
            <w:r>
              <w:rPr>
                <w:rFonts w:ascii="Times New Roman" w:hAnsi="Times New Roman" w:eastAsia="宋体" w:cs="Times New Roman"/>
                <w:sz w:val="20"/>
                <w:szCs w:val="20"/>
              </w:rPr>
              <w:t xml:space="preserve"> 得 25 分；</w:t>
            </w:r>
          </w:p>
          <w:p w14:paraId="3DE9E8F2">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0.0</w:t>
            </w:r>
            <w:r>
              <w:rPr>
                <w:rFonts w:hint="eastAsia" w:cs="Times New Roman"/>
                <w:sz w:val="20"/>
                <w:szCs w:val="20"/>
                <w:lang w:val="en-US" w:eastAsia="zh-CN"/>
              </w:rPr>
              <w:t>6</w:t>
            </w:r>
            <w:r>
              <w:rPr>
                <w:rFonts w:ascii="Times New Roman" w:hAnsi="Times New Roman" w:eastAsia="宋体" w:cs="Times New Roman"/>
                <w:sz w:val="20"/>
                <w:szCs w:val="20"/>
              </w:rPr>
              <w:t>% 得 2</w:t>
            </w:r>
            <w:r>
              <w:rPr>
                <w:rFonts w:hint="eastAsia" w:cs="Times New Roman"/>
                <w:sz w:val="20"/>
                <w:szCs w:val="20"/>
                <w:lang w:val="en-US" w:eastAsia="zh-CN"/>
              </w:rPr>
              <w:t>3</w:t>
            </w:r>
            <w:r>
              <w:rPr>
                <w:rFonts w:ascii="Times New Roman" w:hAnsi="Times New Roman" w:eastAsia="宋体" w:cs="Times New Roman"/>
                <w:sz w:val="20"/>
                <w:szCs w:val="20"/>
              </w:rPr>
              <w:t xml:space="preserve"> 分；</w:t>
            </w:r>
          </w:p>
          <w:p w14:paraId="44CF435D">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0.06</w:t>
            </w:r>
            <w:r>
              <w:rPr>
                <w:rFonts w:hint="eastAsia" w:cs="Times New Roman"/>
                <w:sz w:val="20"/>
                <w:szCs w:val="20"/>
                <w:lang w:val="en-US" w:eastAsia="zh-CN"/>
              </w:rPr>
              <w:t>2</w:t>
            </w:r>
            <w:r>
              <w:rPr>
                <w:rFonts w:ascii="Times New Roman" w:hAnsi="Times New Roman" w:eastAsia="宋体" w:cs="Times New Roman"/>
                <w:sz w:val="20"/>
                <w:szCs w:val="20"/>
              </w:rPr>
              <w:t>% 得 2</w:t>
            </w:r>
            <w:r>
              <w:rPr>
                <w:rFonts w:hint="eastAsia" w:cs="Times New Roman"/>
                <w:sz w:val="20"/>
                <w:szCs w:val="20"/>
                <w:lang w:val="en-US" w:eastAsia="zh-CN"/>
              </w:rPr>
              <w:t>1</w:t>
            </w:r>
            <w:r>
              <w:rPr>
                <w:rFonts w:ascii="Times New Roman" w:hAnsi="Times New Roman" w:eastAsia="宋体" w:cs="Times New Roman"/>
                <w:sz w:val="20"/>
                <w:szCs w:val="20"/>
              </w:rPr>
              <w:t xml:space="preserve"> 分；</w:t>
            </w:r>
          </w:p>
          <w:p w14:paraId="11ACA8EB">
            <w:pPr>
              <w:spacing w:line="300" w:lineRule="auto"/>
              <w:jc w:val="left"/>
              <w:rPr>
                <w:rFonts w:hint="eastAsia" w:cs="Times New Roman"/>
                <w:sz w:val="20"/>
                <w:szCs w:val="20"/>
                <w:lang w:val="en-US" w:eastAsia="zh-CN"/>
              </w:rPr>
            </w:pPr>
            <w:r>
              <w:rPr>
                <w:rFonts w:hint="eastAsia" w:ascii="Times New Roman" w:hAnsi="Times New Roman" w:eastAsia="宋体" w:cs="Times New Roman"/>
                <w:sz w:val="20"/>
                <w:szCs w:val="20"/>
              </w:rPr>
              <w:t>0.064%</w:t>
            </w:r>
            <w:r>
              <w:rPr>
                <w:rFonts w:hint="eastAsia" w:cs="Times New Roman"/>
                <w:sz w:val="20"/>
                <w:szCs w:val="20"/>
                <w:lang w:val="en-US" w:eastAsia="zh-CN"/>
              </w:rPr>
              <w:t>得19分；</w:t>
            </w:r>
          </w:p>
          <w:p w14:paraId="7D47E9A7">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0.0</w:t>
            </w:r>
            <w:r>
              <w:rPr>
                <w:rFonts w:hint="eastAsia" w:cs="Times New Roman"/>
                <w:sz w:val="20"/>
                <w:szCs w:val="20"/>
                <w:lang w:val="en-US" w:eastAsia="zh-CN"/>
              </w:rPr>
              <w:t>66</w:t>
            </w:r>
            <w:r>
              <w:rPr>
                <w:rFonts w:ascii="Times New Roman" w:hAnsi="Times New Roman" w:eastAsia="宋体" w:cs="Times New Roman"/>
                <w:sz w:val="20"/>
                <w:szCs w:val="20"/>
              </w:rPr>
              <w:t>% 得 1</w:t>
            </w:r>
            <w:r>
              <w:rPr>
                <w:rFonts w:hint="eastAsia" w:cs="Times New Roman"/>
                <w:sz w:val="20"/>
                <w:szCs w:val="20"/>
                <w:lang w:val="en-US" w:eastAsia="zh-CN"/>
              </w:rPr>
              <w:t>7</w:t>
            </w:r>
            <w:r>
              <w:rPr>
                <w:rFonts w:ascii="Times New Roman" w:hAnsi="Times New Roman" w:eastAsia="宋体" w:cs="Times New Roman"/>
                <w:sz w:val="20"/>
                <w:szCs w:val="20"/>
              </w:rPr>
              <w:t xml:space="preserve"> 分；</w:t>
            </w:r>
          </w:p>
          <w:p w14:paraId="6644F4FD">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0.0</w:t>
            </w:r>
            <w:r>
              <w:rPr>
                <w:rFonts w:hint="eastAsia" w:cs="Times New Roman"/>
                <w:sz w:val="20"/>
                <w:szCs w:val="20"/>
                <w:lang w:val="en-US" w:eastAsia="zh-CN"/>
              </w:rPr>
              <w:t>68</w:t>
            </w:r>
            <w:r>
              <w:rPr>
                <w:rFonts w:ascii="Times New Roman" w:hAnsi="Times New Roman" w:eastAsia="宋体" w:cs="Times New Roman"/>
                <w:sz w:val="20"/>
                <w:szCs w:val="20"/>
              </w:rPr>
              <w:t>% 得 1</w:t>
            </w:r>
            <w:r>
              <w:rPr>
                <w:rFonts w:hint="eastAsia" w:cs="Times New Roman"/>
                <w:sz w:val="20"/>
                <w:szCs w:val="20"/>
                <w:lang w:val="en-US" w:eastAsia="zh-CN"/>
              </w:rPr>
              <w:t>5</w:t>
            </w:r>
            <w:r>
              <w:rPr>
                <w:rFonts w:ascii="Times New Roman" w:hAnsi="Times New Roman" w:eastAsia="宋体" w:cs="Times New Roman"/>
                <w:sz w:val="20"/>
                <w:szCs w:val="20"/>
              </w:rPr>
              <w:t xml:space="preserve"> 分；</w:t>
            </w:r>
          </w:p>
          <w:p w14:paraId="40A4EDDD">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0.0</w:t>
            </w:r>
            <w:r>
              <w:rPr>
                <w:rFonts w:hint="eastAsia" w:cs="Times New Roman"/>
                <w:sz w:val="20"/>
                <w:szCs w:val="20"/>
                <w:lang w:val="en-US" w:eastAsia="zh-CN"/>
              </w:rPr>
              <w:t>7</w:t>
            </w:r>
            <w:r>
              <w:rPr>
                <w:rFonts w:ascii="Times New Roman" w:hAnsi="Times New Roman" w:eastAsia="宋体" w:cs="Times New Roman"/>
                <w:sz w:val="20"/>
                <w:szCs w:val="20"/>
              </w:rPr>
              <w:t>% 得 1</w:t>
            </w:r>
            <w:r>
              <w:rPr>
                <w:rFonts w:hint="eastAsia" w:cs="Times New Roman"/>
                <w:sz w:val="20"/>
                <w:szCs w:val="20"/>
                <w:lang w:val="en-US" w:eastAsia="zh-CN"/>
              </w:rPr>
              <w:t>3</w:t>
            </w:r>
            <w:r>
              <w:rPr>
                <w:rFonts w:ascii="Times New Roman" w:hAnsi="Times New Roman" w:eastAsia="宋体" w:cs="Times New Roman"/>
                <w:sz w:val="20"/>
                <w:szCs w:val="20"/>
              </w:rPr>
              <w:t xml:space="preserve"> 分；</w:t>
            </w:r>
          </w:p>
          <w:p w14:paraId="23C2C11D">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0.0</w:t>
            </w:r>
            <w:r>
              <w:rPr>
                <w:rFonts w:hint="eastAsia" w:cs="Times New Roman"/>
                <w:sz w:val="20"/>
                <w:szCs w:val="20"/>
                <w:lang w:val="en-US" w:eastAsia="zh-CN"/>
              </w:rPr>
              <w:t>72</w:t>
            </w:r>
            <w:r>
              <w:rPr>
                <w:rFonts w:ascii="Times New Roman" w:hAnsi="Times New Roman" w:eastAsia="宋体" w:cs="Times New Roman"/>
                <w:sz w:val="20"/>
                <w:szCs w:val="20"/>
              </w:rPr>
              <w:t xml:space="preserve">% 得 </w:t>
            </w:r>
            <w:r>
              <w:rPr>
                <w:rFonts w:hint="eastAsia" w:cs="Times New Roman"/>
                <w:sz w:val="20"/>
                <w:szCs w:val="20"/>
                <w:lang w:val="en-US" w:eastAsia="zh-CN"/>
              </w:rPr>
              <w:t>11</w:t>
            </w:r>
            <w:r>
              <w:rPr>
                <w:rFonts w:ascii="Times New Roman" w:hAnsi="Times New Roman" w:eastAsia="宋体" w:cs="Times New Roman"/>
                <w:sz w:val="20"/>
                <w:szCs w:val="20"/>
              </w:rPr>
              <w:t xml:space="preserve"> 分；</w:t>
            </w:r>
          </w:p>
          <w:p w14:paraId="34BDB89F">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0.0</w:t>
            </w:r>
            <w:r>
              <w:rPr>
                <w:rFonts w:hint="eastAsia" w:cs="Times New Roman"/>
                <w:sz w:val="20"/>
                <w:szCs w:val="20"/>
                <w:lang w:val="en-US" w:eastAsia="zh-CN"/>
              </w:rPr>
              <w:t>74</w:t>
            </w:r>
            <w:r>
              <w:rPr>
                <w:rFonts w:ascii="Times New Roman" w:hAnsi="Times New Roman" w:eastAsia="宋体" w:cs="Times New Roman"/>
                <w:sz w:val="20"/>
                <w:szCs w:val="20"/>
              </w:rPr>
              <w:t xml:space="preserve">% 得 </w:t>
            </w:r>
            <w:r>
              <w:rPr>
                <w:rFonts w:hint="eastAsia" w:cs="Times New Roman"/>
                <w:sz w:val="20"/>
                <w:szCs w:val="20"/>
                <w:lang w:val="en-US" w:eastAsia="zh-CN"/>
              </w:rPr>
              <w:t>9</w:t>
            </w:r>
            <w:r>
              <w:rPr>
                <w:rFonts w:ascii="Times New Roman" w:hAnsi="Times New Roman" w:eastAsia="宋体" w:cs="Times New Roman"/>
                <w:sz w:val="20"/>
                <w:szCs w:val="20"/>
              </w:rPr>
              <w:t xml:space="preserve"> 分；</w:t>
            </w:r>
          </w:p>
          <w:p w14:paraId="73D6EE26">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0.0</w:t>
            </w:r>
            <w:r>
              <w:rPr>
                <w:rFonts w:hint="eastAsia" w:cs="Times New Roman"/>
                <w:sz w:val="20"/>
                <w:szCs w:val="20"/>
                <w:lang w:val="en-US" w:eastAsia="zh-CN"/>
              </w:rPr>
              <w:t>76</w:t>
            </w:r>
            <w:r>
              <w:rPr>
                <w:rFonts w:ascii="Times New Roman" w:hAnsi="Times New Roman" w:eastAsia="宋体" w:cs="Times New Roman"/>
                <w:sz w:val="20"/>
                <w:szCs w:val="20"/>
              </w:rPr>
              <w:t xml:space="preserve">% 得 </w:t>
            </w:r>
            <w:r>
              <w:rPr>
                <w:rFonts w:hint="eastAsia" w:cs="Times New Roman"/>
                <w:sz w:val="20"/>
                <w:szCs w:val="20"/>
                <w:lang w:val="en-US" w:eastAsia="zh-CN"/>
              </w:rPr>
              <w:t>7</w:t>
            </w:r>
            <w:r>
              <w:rPr>
                <w:rFonts w:ascii="Times New Roman" w:hAnsi="Times New Roman" w:eastAsia="宋体" w:cs="Times New Roman"/>
                <w:sz w:val="20"/>
                <w:szCs w:val="20"/>
              </w:rPr>
              <w:t>分；</w:t>
            </w:r>
          </w:p>
          <w:p w14:paraId="2B2C5292">
            <w:pPr>
              <w:spacing w:line="300" w:lineRule="auto"/>
              <w:jc w:val="left"/>
              <w:rPr>
                <w:rFonts w:ascii="Times New Roman" w:hAnsi="Times New Roman" w:eastAsia="宋体" w:cs="Times New Roman"/>
                <w:sz w:val="20"/>
                <w:szCs w:val="20"/>
              </w:rPr>
            </w:pPr>
            <w:r>
              <w:rPr>
                <w:rFonts w:ascii="Times New Roman" w:hAnsi="Times New Roman" w:eastAsia="宋体" w:cs="Times New Roman"/>
                <w:sz w:val="20"/>
                <w:szCs w:val="20"/>
              </w:rPr>
              <w:t>0.0</w:t>
            </w:r>
            <w:r>
              <w:rPr>
                <w:rFonts w:hint="eastAsia" w:cs="Times New Roman"/>
                <w:sz w:val="20"/>
                <w:szCs w:val="20"/>
                <w:lang w:val="en-US" w:eastAsia="zh-CN"/>
              </w:rPr>
              <w:t>78</w:t>
            </w:r>
            <w:r>
              <w:rPr>
                <w:rFonts w:ascii="Times New Roman" w:hAnsi="Times New Roman" w:eastAsia="宋体" w:cs="Times New Roman"/>
                <w:sz w:val="20"/>
                <w:szCs w:val="20"/>
              </w:rPr>
              <w:t>% 得</w:t>
            </w:r>
            <w:r>
              <w:rPr>
                <w:rFonts w:hint="eastAsia" w:cs="Times New Roman"/>
                <w:sz w:val="20"/>
                <w:szCs w:val="20"/>
                <w:lang w:val="en-US" w:eastAsia="zh-CN"/>
              </w:rPr>
              <w:t>5</w:t>
            </w:r>
            <w:r>
              <w:rPr>
                <w:rFonts w:ascii="Times New Roman" w:hAnsi="Times New Roman" w:eastAsia="宋体" w:cs="Times New Roman"/>
                <w:sz w:val="20"/>
                <w:szCs w:val="20"/>
              </w:rPr>
              <w:t>分；</w:t>
            </w:r>
          </w:p>
          <w:p w14:paraId="2306C6BC">
            <w:pPr>
              <w:spacing w:line="300" w:lineRule="auto"/>
              <w:jc w:val="left"/>
              <w:rPr>
                <w:sz w:val="22"/>
                <w:szCs w:val="22"/>
              </w:rPr>
            </w:pPr>
            <w:r>
              <w:rPr>
                <w:rFonts w:ascii="Times New Roman" w:hAnsi="Times New Roman" w:eastAsia="宋体" w:cs="Times New Roman"/>
                <w:sz w:val="20"/>
                <w:szCs w:val="20"/>
              </w:rPr>
              <w:t xml:space="preserve">0.08% </w:t>
            </w:r>
            <w:r>
              <w:rPr>
                <w:rFonts w:hint="eastAsia" w:cs="Times New Roman"/>
                <w:sz w:val="20"/>
                <w:szCs w:val="20"/>
                <w:lang w:val="en-US" w:eastAsia="zh-CN"/>
              </w:rPr>
              <w:t>及</w:t>
            </w:r>
            <w:r>
              <w:rPr>
                <w:rFonts w:ascii="Times New Roman" w:hAnsi="Times New Roman" w:eastAsia="宋体" w:cs="Times New Roman"/>
                <w:sz w:val="20"/>
                <w:szCs w:val="20"/>
              </w:rPr>
              <w:t>以上得 0 分。</w:t>
            </w:r>
          </w:p>
        </w:tc>
      </w:tr>
      <w:tr w14:paraId="729E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CD43689">
            <w:pPr>
              <w:spacing w:line="300" w:lineRule="auto"/>
              <w:jc w:val="center"/>
              <w:rPr>
                <w:sz w:val="22"/>
                <w:szCs w:val="22"/>
              </w:rPr>
            </w:pPr>
            <w:r>
              <w:rPr>
                <w:rFonts w:ascii="Times New Roman" w:hAnsi="Times New Roman" w:eastAsia="宋体" w:cs="Times New Roman"/>
                <w:sz w:val="20"/>
                <w:szCs w:val="20"/>
              </w:rPr>
              <w:t>3</w:t>
            </w:r>
          </w:p>
        </w:tc>
        <w:tc>
          <w:tcPr>
            <w:tcW w:w="24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5EA0A94F">
            <w:pPr>
              <w:spacing w:line="300" w:lineRule="auto"/>
              <w:jc w:val="center"/>
              <w:rPr>
                <w:sz w:val="22"/>
                <w:szCs w:val="22"/>
              </w:rPr>
            </w:pPr>
            <w:r>
              <w:rPr>
                <w:rFonts w:ascii="Times New Roman" w:hAnsi="Times New Roman" w:eastAsia="宋体" w:cs="Times New Roman"/>
                <w:sz w:val="20"/>
                <w:szCs w:val="20"/>
              </w:rPr>
              <w:t>整体服务方案评价</w:t>
            </w:r>
          </w:p>
        </w:tc>
        <w:tc>
          <w:tcPr>
            <w:tcW w:w="11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D337D07">
            <w:pPr>
              <w:spacing w:line="300" w:lineRule="auto"/>
              <w:jc w:val="center"/>
              <w:rPr>
                <w:sz w:val="22"/>
                <w:szCs w:val="22"/>
              </w:rPr>
            </w:pPr>
            <w:r>
              <w:rPr>
                <w:rFonts w:ascii="Times New Roman" w:hAnsi="Times New Roman" w:eastAsia="宋体" w:cs="Times New Roman"/>
                <w:sz w:val="20"/>
                <w:szCs w:val="20"/>
              </w:rPr>
              <w:t>35</w:t>
            </w:r>
          </w:p>
        </w:tc>
        <w:tc>
          <w:tcPr>
            <w:tcW w:w="49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60FD222">
            <w:pPr>
              <w:spacing w:line="300" w:lineRule="auto"/>
              <w:jc w:val="left"/>
              <w:rPr>
                <w:sz w:val="22"/>
                <w:szCs w:val="22"/>
              </w:rPr>
            </w:pPr>
            <w:r>
              <w:rPr>
                <w:rFonts w:ascii="Times New Roman" w:hAnsi="Times New Roman" w:eastAsia="宋体" w:cs="Times New Roman"/>
                <w:sz w:val="20"/>
                <w:szCs w:val="20"/>
              </w:rPr>
              <w:t>根据服务机构整体服务方案及具体合作情况进行综合评价。</w:t>
            </w:r>
          </w:p>
        </w:tc>
      </w:tr>
    </w:tbl>
    <w:p w14:paraId="40BA715C">
      <w:pPr>
        <w:pStyle w:val="2"/>
        <w:pageBreakBefore/>
        <w:rPr>
          <w:rFonts w:ascii="Times New Roman" w:hAnsi="Times New Roman" w:eastAsia="黑体" w:cs="Times New Roman"/>
          <w:b/>
          <w:bCs/>
          <w:sz w:val="30"/>
          <w:szCs w:val="30"/>
        </w:rPr>
      </w:pPr>
      <w:bookmarkStart w:id="15" w:name="_Toc14846"/>
      <w:r>
        <w:rPr>
          <w:rFonts w:ascii="Times New Roman" w:hAnsi="Times New Roman" w:eastAsia="黑体" w:cs="Times New Roman"/>
          <w:b/>
          <w:bCs/>
          <w:sz w:val="30"/>
          <w:szCs w:val="30"/>
        </w:rPr>
        <w:t>附件 2  证券公司报名报价函</w:t>
      </w:r>
      <w:bookmarkEnd w:id="15"/>
    </w:p>
    <w:p w14:paraId="0D3DC817">
      <w:pPr>
        <w:spacing w:before="0" w:after="120" w:line="360" w:lineRule="auto"/>
        <w:ind w:firstLine="48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厦门国贸控股集团有限公司</w:t>
      </w:r>
    </w:p>
    <w:p w14:paraId="67FC3319">
      <w:pPr>
        <w:spacing w:before="0" w:after="120" w:line="360" w:lineRule="auto"/>
        <w:ind w:firstLine="480"/>
        <w:jc w:val="center"/>
      </w:pPr>
      <w:r>
        <w:rPr>
          <w:rFonts w:ascii="Times New Roman" w:hAnsi="Times New Roman" w:eastAsia="宋体" w:cs="Times New Roman"/>
          <w:b/>
          <w:bCs/>
          <w:sz w:val="24"/>
          <w:szCs w:val="24"/>
        </w:rPr>
        <w:t>可续期公司债券承销商选聘项目</w:t>
      </w:r>
      <w:r>
        <w:rPr>
          <w:rFonts w:hint="eastAsia" w:ascii="Times New Roman" w:hAnsi="Times New Roman" w:eastAsia="宋体" w:cs="Times New Roman"/>
          <w:b/>
          <w:bCs/>
          <w:sz w:val="24"/>
          <w:szCs w:val="24"/>
        </w:rPr>
        <w:t>报名报价函</w:t>
      </w:r>
    </w:p>
    <w:tbl>
      <w:tblPr>
        <w:tblStyle w:val="12"/>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560"/>
        <w:gridCol w:w="3800"/>
      </w:tblGrid>
      <w:tr w14:paraId="5F66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560"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5A879274">
            <w:pPr>
              <w:spacing w:line="300" w:lineRule="auto"/>
              <w:jc w:val="center"/>
            </w:pPr>
            <w:r>
              <w:rPr>
                <w:rFonts w:ascii="Times New Roman" w:hAnsi="Times New Roman" w:eastAsia="宋体" w:cs="Times New Roman"/>
                <w:b/>
                <w:bCs/>
                <w:sz w:val="21"/>
                <w:szCs w:val="21"/>
              </w:rPr>
              <w:t>项目</w:t>
            </w:r>
          </w:p>
        </w:tc>
        <w:tc>
          <w:tcPr>
            <w:tcW w:w="3800" w:type="dxa"/>
            <w:tcBorders>
              <w:top w:val="single" w:color="000000" w:sz="4" w:space="0"/>
              <w:left w:val="single" w:color="000000" w:sz="4" w:space="0"/>
              <w:bottom w:val="single" w:color="000000" w:sz="4" w:space="0"/>
              <w:right w:val="single" w:color="000000" w:sz="4" w:space="0"/>
            </w:tcBorders>
            <w:shd w:val="clear" w:color="auto" w:fill="D9E2F3"/>
            <w:tcMar>
              <w:top w:w="60" w:type="dxa"/>
              <w:left w:w="100" w:type="dxa"/>
              <w:bottom w:w="60" w:type="dxa"/>
              <w:right w:w="100" w:type="dxa"/>
            </w:tcMar>
            <w:vAlign w:val="center"/>
          </w:tcPr>
          <w:p w14:paraId="65EFE35C">
            <w:pPr>
              <w:spacing w:line="300" w:lineRule="auto"/>
              <w:jc w:val="center"/>
            </w:pPr>
            <w:r>
              <w:rPr>
                <w:rFonts w:ascii="Times New Roman" w:hAnsi="Times New Roman" w:eastAsia="宋体" w:cs="Times New Roman"/>
                <w:b/>
                <w:bCs/>
                <w:sz w:val="21"/>
                <w:szCs w:val="21"/>
              </w:rPr>
              <w:t>情况</w:t>
            </w:r>
          </w:p>
        </w:tc>
      </w:tr>
      <w:tr w14:paraId="2641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33C21652">
            <w:pPr>
              <w:spacing w:line="300" w:lineRule="auto"/>
              <w:jc w:val="left"/>
              <w:rPr>
                <w:rFonts w:hint="eastAsia" w:eastAsia="宋体"/>
                <w:lang w:eastAsia="zh-CN"/>
              </w:rPr>
            </w:pPr>
            <w:r>
              <w:rPr>
                <w:rFonts w:ascii="Times New Roman" w:hAnsi="Times New Roman" w:eastAsia="宋体" w:cs="Times New Roman"/>
                <w:sz w:val="20"/>
                <w:szCs w:val="20"/>
              </w:rPr>
              <w:t>2025 年证券公司在证监会分类等级</w:t>
            </w:r>
            <w:r>
              <w:rPr>
                <w:rFonts w:hint="eastAsia" w:cs="Times New Roman"/>
                <w:sz w:val="20"/>
                <w:szCs w:val="20"/>
                <w:lang w:eastAsia="zh-CN"/>
              </w:rPr>
              <w:t>（</w:t>
            </w:r>
            <w:r>
              <w:rPr>
                <w:rFonts w:hint="eastAsia" w:cs="Times New Roman"/>
                <w:sz w:val="20"/>
                <w:szCs w:val="20"/>
                <w:lang w:val="en-US" w:eastAsia="zh-CN"/>
              </w:rPr>
              <w:t>首项</w:t>
            </w:r>
            <w:r>
              <w:rPr>
                <w:rFonts w:hint="eastAsia" w:cs="Times New Roman"/>
                <w:sz w:val="20"/>
                <w:szCs w:val="20"/>
                <w:lang w:eastAsia="zh-CN"/>
              </w:rPr>
              <w:t>）</w:t>
            </w:r>
          </w:p>
        </w:tc>
        <w:tc>
          <w:tcPr>
            <w:tcW w:w="38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8A48603">
            <w:pPr>
              <w:spacing w:line="300" w:lineRule="auto"/>
              <w:jc w:val="left"/>
            </w:pPr>
          </w:p>
        </w:tc>
      </w:tr>
      <w:tr w14:paraId="14731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0310F9B">
            <w:pPr>
              <w:spacing w:line="300" w:lineRule="auto"/>
              <w:jc w:val="left"/>
            </w:pPr>
            <w:r>
              <w:rPr>
                <w:rFonts w:ascii="Times New Roman" w:hAnsi="Times New Roman" w:eastAsia="宋体" w:cs="Times New Roman"/>
                <w:sz w:val="21"/>
                <w:szCs w:val="21"/>
              </w:rPr>
              <w:t>2025 年证券公司福建省债券承销金额排名（Wind 口径）</w:t>
            </w:r>
          </w:p>
        </w:tc>
        <w:tc>
          <w:tcPr>
            <w:tcW w:w="38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36ABFCE">
            <w:pPr>
              <w:spacing w:line="300" w:lineRule="auto"/>
              <w:jc w:val="left"/>
            </w:pPr>
          </w:p>
        </w:tc>
      </w:tr>
      <w:tr w14:paraId="1F4B3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225C4BA4">
            <w:pPr>
              <w:spacing w:line="300" w:lineRule="auto"/>
              <w:jc w:val="left"/>
            </w:pPr>
            <w:r>
              <w:rPr>
                <w:rFonts w:ascii="Times New Roman" w:hAnsi="Times New Roman" w:eastAsia="宋体" w:cs="Times New Roman"/>
                <w:sz w:val="21"/>
                <w:szCs w:val="21"/>
              </w:rPr>
              <w:t>2025 年证券公司全国全口径债券承销排名（Wind 口径）</w:t>
            </w:r>
          </w:p>
        </w:tc>
        <w:tc>
          <w:tcPr>
            <w:tcW w:w="38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45D83DBA">
            <w:pPr>
              <w:spacing w:line="300" w:lineRule="auto"/>
              <w:jc w:val="left"/>
            </w:pPr>
          </w:p>
        </w:tc>
      </w:tr>
      <w:tr w14:paraId="716A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56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7EFC9665">
            <w:pPr>
              <w:spacing w:line="300" w:lineRule="auto"/>
              <w:jc w:val="left"/>
            </w:pPr>
            <w:r>
              <w:rPr>
                <w:rFonts w:ascii="Times New Roman" w:hAnsi="Times New Roman" w:eastAsia="宋体" w:cs="Times New Roman"/>
                <w:sz w:val="21"/>
                <w:szCs w:val="21"/>
              </w:rPr>
              <w:t>年化承销费率（年化）</w:t>
            </w:r>
          </w:p>
        </w:tc>
        <w:tc>
          <w:tcPr>
            <w:tcW w:w="38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14:paraId="6B989F05">
            <w:pPr>
              <w:spacing w:line="300" w:lineRule="auto"/>
              <w:jc w:val="left"/>
            </w:pPr>
          </w:p>
        </w:tc>
      </w:tr>
    </w:tbl>
    <w:p w14:paraId="1ECC14B7">
      <w:pPr>
        <w:spacing w:before="120" w:after="80" w:line="360" w:lineRule="auto"/>
        <w:ind w:firstLine="480"/>
        <w:rPr>
          <w:sz w:val="20"/>
          <w:szCs w:val="20"/>
        </w:rPr>
      </w:pPr>
      <w:r>
        <w:rPr>
          <w:rFonts w:ascii="Times New Roman" w:hAnsi="Times New Roman" w:eastAsia="宋体" w:cs="Times New Roman"/>
          <w:b/>
          <w:bCs/>
          <w:sz w:val="20"/>
          <w:szCs w:val="20"/>
        </w:rPr>
        <w:t>备注：</w:t>
      </w:r>
    </w:p>
    <w:p w14:paraId="47B2D5C2">
      <w:pPr>
        <w:spacing w:before="0" w:after="80" w:line="360" w:lineRule="auto"/>
        <w:ind w:firstLine="480"/>
        <w:rPr>
          <w:sz w:val="20"/>
          <w:szCs w:val="20"/>
        </w:rPr>
      </w:pPr>
      <w:r>
        <w:rPr>
          <w:rFonts w:ascii="Times New Roman" w:hAnsi="Times New Roman" w:eastAsia="宋体" w:cs="Times New Roman"/>
          <w:sz w:val="20"/>
          <w:szCs w:val="20"/>
        </w:rPr>
        <w:t>1、以上报价均为含增值税价格、含差旅等一切费用。</w:t>
      </w:r>
      <w:r>
        <w:rPr>
          <w:rFonts w:hint="eastAsia" w:ascii="Times New Roman" w:hAnsi="Times New Roman" w:eastAsia="宋体" w:cs="Times New Roman"/>
          <w:sz w:val="20"/>
          <w:szCs w:val="20"/>
        </w:rPr>
        <w:t>证券公司承销费报价下限为年化0.058%、上限为年化 0.08%，费率报价的增价幅度必须为0.002%的整数倍。</w:t>
      </w:r>
    </w:p>
    <w:p w14:paraId="6CF13951">
      <w:pPr>
        <w:spacing w:before="0" w:after="80" w:line="360" w:lineRule="auto"/>
        <w:ind w:firstLine="480"/>
        <w:rPr>
          <w:sz w:val="20"/>
          <w:szCs w:val="20"/>
        </w:rPr>
      </w:pPr>
      <w:r>
        <w:rPr>
          <w:rFonts w:ascii="Times New Roman" w:hAnsi="Times New Roman" w:eastAsia="宋体" w:cs="Times New Roman"/>
          <w:sz w:val="20"/>
          <w:szCs w:val="20"/>
        </w:rPr>
        <w:t>2、2025 年证券公司福建省债券承销金额排名（Wind 口径）查询路径：债券-专题统计-一级市场-承销统计-债券承销统计（按地域）-统计年度：2025 年；机构类型：证券；债券类型：债券分类 wind（旧）-企业债、公司债、中期票据、短期融资券；地域：福建；联主实际比例，不勾选自主自办发行；合并母子公司。</w:t>
      </w:r>
    </w:p>
    <w:p w14:paraId="5EBD0A1F">
      <w:pPr>
        <w:spacing w:before="0" w:after="80" w:line="360" w:lineRule="auto"/>
        <w:ind w:firstLine="480"/>
        <w:rPr>
          <w:sz w:val="20"/>
          <w:szCs w:val="20"/>
        </w:rPr>
      </w:pPr>
      <w:r>
        <w:rPr>
          <w:rFonts w:ascii="Times New Roman" w:hAnsi="Times New Roman" w:eastAsia="宋体" w:cs="Times New Roman"/>
          <w:sz w:val="20"/>
          <w:szCs w:val="20"/>
        </w:rPr>
        <w:t>3、2025 年证券公司全国全口径债券承销排名（Wind 口径）查询路径：债券-专题统计-一级市场-承销统计-债券承销排名（Wind 口径）-统计年度：2025 年；机构类型：证券；债券分类：债券分类（WIND）（旧）；地域分类：全国；联主实际比例，不勾选自主自办发行；合并母子公司。</w:t>
      </w:r>
    </w:p>
    <w:p w14:paraId="006A5CF7">
      <w:pPr>
        <w:spacing w:before="0" w:after="80" w:line="360" w:lineRule="auto"/>
        <w:ind w:firstLine="480"/>
        <w:rPr>
          <w:sz w:val="20"/>
          <w:szCs w:val="20"/>
        </w:rPr>
      </w:pPr>
      <w:r>
        <w:rPr>
          <w:rFonts w:ascii="Times New Roman" w:hAnsi="Times New Roman" w:eastAsia="宋体" w:cs="Times New Roman"/>
          <w:sz w:val="20"/>
          <w:szCs w:val="20"/>
        </w:rPr>
        <w:t>4、排名佐证材料应为相应截图。</w:t>
      </w:r>
    </w:p>
    <w:p w14:paraId="2086D4FC">
      <w:pPr>
        <w:keepNext w:val="0"/>
        <w:keepLines w:val="0"/>
        <w:pageBreakBefore w:val="0"/>
        <w:widowControl w:val="0"/>
        <w:kinsoku/>
        <w:wordWrap/>
        <w:overflowPunct/>
        <w:topLinePunct w:val="0"/>
        <w:autoSpaceDE/>
        <w:autoSpaceDN/>
        <w:bidi w:val="0"/>
        <w:adjustRightInd/>
        <w:snapToGrid/>
        <w:spacing w:before="200" w:after="80" w:line="360" w:lineRule="auto"/>
        <w:ind w:right="1134" w:firstLine="482"/>
        <w:jc w:val="left"/>
        <w:textAlignment w:val="auto"/>
        <w:rPr>
          <w:rFonts w:ascii="Times New Roman" w:hAnsi="Times New Roman" w:eastAsia="宋体" w:cs="Times New Roman"/>
          <w:sz w:val="24"/>
          <w:szCs w:val="24"/>
        </w:rPr>
      </w:pPr>
    </w:p>
    <w:p w14:paraId="72E3B60C">
      <w:pPr>
        <w:keepNext w:val="0"/>
        <w:keepLines w:val="0"/>
        <w:pageBreakBefore w:val="0"/>
        <w:widowControl w:val="0"/>
        <w:kinsoku/>
        <w:wordWrap/>
        <w:overflowPunct/>
        <w:topLinePunct w:val="0"/>
        <w:autoSpaceDE/>
        <w:autoSpaceDN/>
        <w:bidi w:val="0"/>
        <w:adjustRightInd/>
        <w:snapToGrid/>
        <w:spacing w:before="200" w:after="80" w:line="360" w:lineRule="auto"/>
        <w:ind w:right="1134" w:firstLine="482"/>
        <w:jc w:val="left"/>
        <w:textAlignment w:val="auto"/>
      </w:pPr>
      <w:r>
        <w:rPr>
          <w:rFonts w:ascii="Times New Roman" w:hAnsi="Times New Roman" w:eastAsia="宋体" w:cs="Times New Roman"/>
          <w:sz w:val="24"/>
          <w:szCs w:val="24"/>
        </w:rPr>
        <w:t>报名单位（盖章）：</w:t>
      </w:r>
    </w:p>
    <w:p w14:paraId="23F0B32B">
      <w:pPr>
        <w:keepNext w:val="0"/>
        <w:keepLines w:val="0"/>
        <w:pageBreakBefore w:val="0"/>
        <w:widowControl w:val="0"/>
        <w:kinsoku/>
        <w:wordWrap/>
        <w:overflowPunct/>
        <w:topLinePunct w:val="0"/>
        <w:autoSpaceDE/>
        <w:autoSpaceDN/>
        <w:bidi w:val="0"/>
        <w:adjustRightInd/>
        <w:snapToGrid/>
        <w:spacing w:before="0" w:after="80" w:line="360" w:lineRule="auto"/>
        <w:ind w:right="1134" w:firstLine="482"/>
        <w:jc w:val="left"/>
        <w:textAlignment w:val="auto"/>
      </w:pPr>
      <w:r>
        <w:rPr>
          <w:rFonts w:ascii="Times New Roman" w:hAnsi="Times New Roman" w:eastAsia="宋体" w:cs="Times New Roman"/>
          <w:sz w:val="24"/>
          <w:szCs w:val="24"/>
        </w:rPr>
        <w:t>全权代表（签字/盖章）：</w:t>
      </w:r>
    </w:p>
    <w:p w14:paraId="636574B3">
      <w:pPr>
        <w:keepNext w:val="0"/>
        <w:keepLines w:val="0"/>
        <w:pageBreakBefore w:val="0"/>
        <w:widowControl w:val="0"/>
        <w:kinsoku/>
        <w:wordWrap/>
        <w:overflowPunct/>
        <w:topLinePunct w:val="0"/>
        <w:autoSpaceDE/>
        <w:autoSpaceDN/>
        <w:bidi w:val="0"/>
        <w:adjustRightInd/>
        <w:snapToGrid/>
        <w:spacing w:before="0" w:after="80" w:line="360" w:lineRule="auto"/>
        <w:ind w:right="1134" w:firstLine="482"/>
        <w:jc w:val="left"/>
        <w:textAlignment w:val="auto"/>
      </w:pPr>
      <w:r>
        <w:rPr>
          <w:rFonts w:ascii="Times New Roman" w:hAnsi="Times New Roman" w:eastAsia="宋体" w:cs="Times New Roman"/>
          <w:sz w:val="24"/>
          <w:szCs w:val="24"/>
        </w:rPr>
        <w:t>日期：</w:t>
      </w:r>
    </w:p>
    <w:p w14:paraId="4EC3839E">
      <w:pPr>
        <w:pStyle w:val="2"/>
        <w:pageBreakBefore/>
        <w:rPr>
          <w:rFonts w:ascii="Times New Roman" w:hAnsi="Times New Roman" w:eastAsia="黑体" w:cs="Times New Roman"/>
          <w:b/>
          <w:bCs/>
          <w:sz w:val="30"/>
          <w:szCs w:val="30"/>
        </w:rPr>
      </w:pPr>
      <w:bookmarkStart w:id="16" w:name="_Toc24569"/>
      <w:r>
        <w:rPr>
          <w:rFonts w:ascii="Times New Roman" w:hAnsi="Times New Roman" w:eastAsia="黑体" w:cs="Times New Roman"/>
          <w:b/>
          <w:bCs/>
          <w:sz w:val="30"/>
          <w:szCs w:val="30"/>
        </w:rPr>
        <w:t>附件 3  廉洁承诺书</w:t>
      </w:r>
      <w:bookmarkEnd w:id="16"/>
    </w:p>
    <w:p w14:paraId="6B228A8B">
      <w:pPr>
        <w:jc w:val="center"/>
        <w:rPr>
          <w:rFonts w:ascii="Times New Roman" w:hAnsi="Times New Roman" w:eastAsia="黑体" w:cs="Times New Roman"/>
          <w:b/>
          <w:bCs/>
          <w:sz w:val="30"/>
          <w:szCs w:val="30"/>
        </w:rPr>
      </w:pPr>
      <w:r>
        <w:rPr>
          <w:rFonts w:ascii="Times New Roman" w:hAnsi="Times New Roman" w:eastAsia="黑体" w:cs="Times New Roman"/>
          <w:b/>
          <w:bCs/>
          <w:sz w:val="30"/>
          <w:szCs w:val="30"/>
        </w:rPr>
        <w:t>廉洁承诺书</w:t>
      </w:r>
    </w:p>
    <w:p w14:paraId="0EA91C43">
      <w:pPr>
        <w:jc w:val="center"/>
        <w:rPr>
          <w:rFonts w:ascii="Times New Roman" w:hAnsi="Times New Roman" w:eastAsia="黑体" w:cs="Times New Roman"/>
          <w:b/>
          <w:bCs/>
          <w:sz w:val="30"/>
          <w:szCs w:val="30"/>
        </w:rPr>
      </w:pPr>
    </w:p>
    <w:p w14:paraId="06E330ED">
      <w:pPr>
        <w:spacing w:before="0" w:after="80" w:line="360" w:lineRule="auto"/>
        <w:ind w:firstLine="480"/>
      </w:pPr>
      <w:r>
        <w:rPr>
          <w:rFonts w:ascii="Times New Roman" w:hAnsi="Times New Roman" w:eastAsia="宋体" w:cs="Times New Roman"/>
          <w:sz w:val="24"/>
          <w:szCs w:val="24"/>
        </w:rPr>
        <w:t>我司参加厦门国贸控股集团有限公司注册发行可续期公司债承销商选聘项目的采购评选，做如下承诺：</w:t>
      </w:r>
    </w:p>
    <w:p w14:paraId="03FBD2FE">
      <w:pPr>
        <w:spacing w:before="0" w:after="80" w:line="360" w:lineRule="auto"/>
        <w:ind w:firstLine="480"/>
      </w:pPr>
      <w:r>
        <w:rPr>
          <w:rFonts w:ascii="Times New Roman" w:hAnsi="Times New Roman" w:eastAsia="宋体" w:cs="Times New Roman"/>
          <w:sz w:val="24"/>
          <w:szCs w:val="24"/>
        </w:rPr>
        <w:t>（一）严格遵守《中华人民共和国招标投标法》等相关法律法规及本项目《采购文件》等有关规定。</w:t>
      </w:r>
    </w:p>
    <w:p w14:paraId="43A2DD34">
      <w:pPr>
        <w:spacing w:before="0" w:after="80" w:line="360" w:lineRule="auto"/>
        <w:ind w:firstLine="480"/>
      </w:pPr>
      <w:r>
        <w:rPr>
          <w:rFonts w:ascii="Times New Roman" w:hAnsi="Times New Roman" w:eastAsia="宋体" w:cs="Times New Roman"/>
          <w:sz w:val="24"/>
          <w:szCs w:val="24"/>
        </w:rPr>
        <w:t>（二）严格遵守职业道德，客观、公正地参与本项目报价。</w:t>
      </w:r>
    </w:p>
    <w:p w14:paraId="55BFAE05">
      <w:pPr>
        <w:spacing w:before="0" w:after="80" w:line="360" w:lineRule="auto"/>
        <w:ind w:firstLine="480"/>
      </w:pPr>
      <w:r>
        <w:rPr>
          <w:rFonts w:ascii="Times New Roman" w:hAnsi="Times New Roman" w:eastAsia="宋体" w:cs="Times New Roman"/>
          <w:sz w:val="24"/>
          <w:szCs w:val="24"/>
        </w:rPr>
        <w:t>（三）严格遵守本项目询价工作纪律，不与采购方或与评选结果有利害关系的人私下接触，不收受其它利害关系人的财物和好处。</w:t>
      </w:r>
    </w:p>
    <w:p w14:paraId="6704F40C">
      <w:pPr>
        <w:spacing w:before="0" w:after="80" w:line="360" w:lineRule="auto"/>
        <w:ind w:firstLine="480"/>
      </w:pPr>
      <w:r>
        <w:rPr>
          <w:rFonts w:ascii="Times New Roman" w:hAnsi="Times New Roman" w:eastAsia="宋体" w:cs="Times New Roman"/>
          <w:sz w:val="24"/>
          <w:szCs w:val="24"/>
        </w:rPr>
        <w:t>（四）严格遵守保密规定，不得向任何单位或个人泄露在参与采购活动中所获知的国家秘密和商业秘密。</w:t>
      </w:r>
    </w:p>
    <w:p w14:paraId="185D88B7">
      <w:pPr>
        <w:spacing w:before="200" w:after="80" w:line="360" w:lineRule="auto"/>
        <w:ind w:firstLine="480"/>
      </w:pPr>
      <w:r>
        <w:rPr>
          <w:rFonts w:ascii="Times New Roman" w:hAnsi="Times New Roman" w:eastAsia="宋体" w:cs="Times New Roman"/>
          <w:sz w:val="24"/>
          <w:szCs w:val="24"/>
        </w:rPr>
        <w:t xml:space="preserve">承诺人（盖章）：                            </w:t>
      </w:r>
    </w:p>
    <w:p w14:paraId="054CD8E3">
      <w:pPr>
        <w:spacing w:before="0" w:after="80" w:line="360" w:lineRule="auto"/>
        <w:ind w:firstLine="480"/>
      </w:pPr>
      <w:r>
        <w:rPr>
          <w:rFonts w:ascii="Times New Roman" w:hAnsi="Times New Roman" w:eastAsia="宋体" w:cs="Times New Roman"/>
          <w:sz w:val="24"/>
          <w:szCs w:val="24"/>
        </w:rPr>
        <w:t>日期：      年    月    日</w:t>
      </w:r>
    </w:p>
    <w:sectPr>
      <w:footerReference r:id="rId3" w:type="default"/>
      <w:pgSz w:w="11906" w:h="16838"/>
      <w:pgMar w:top="1417" w:right="1417" w:bottom="1417" w:left="1417"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473E9">
    <w:pPr>
      <w:jc w:val="center"/>
    </w:pPr>
    <w:r>
      <w:rPr>
        <w:rFonts w:ascii="Times New Roman" w:hAnsi="Times New Roman" w:eastAsia="宋体" w:cs="Times New Roman"/>
        <w:sz w:val="20"/>
        <w:szCs w:val="20"/>
      </w:rPr>
      <w:t xml:space="preserve">第 </w:t>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PAGE</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F746B5"/>
    <w:multiLevelType w:val="singleLevel"/>
    <w:tmpl w:val="DEF746B5"/>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348159A"/>
    <w:rsid w:val="142C1597"/>
    <w:rsid w:val="2059281B"/>
    <w:rsid w:val="25030541"/>
    <w:rsid w:val="36EC395C"/>
    <w:rsid w:val="3B1F2892"/>
    <w:rsid w:val="3B654F20"/>
    <w:rsid w:val="465B423C"/>
    <w:rsid w:val="53FF0AD3"/>
    <w:rsid w:val="5ED03A93"/>
    <w:rsid w:val="6E4554EF"/>
    <w:rsid w:val="6FC9035F"/>
    <w:rsid w:val="77FA9FAB"/>
    <w:rsid w:val="7AA6336D"/>
    <w:rsid w:val="7C2F78F2"/>
    <w:rsid w:val="7FAFB7DD"/>
    <w:rsid w:val="BFFD7D35"/>
    <w:rsid w:val="C90A5A23"/>
    <w:rsid w:val="E6FE4746"/>
    <w:rsid w:val="F76FFE52"/>
    <w:rsid w:val="F7F73F15"/>
    <w:rsid w:val="FFF7E4D3"/>
    <w:rsid w:val="FFFBB2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4"/>
      <w:szCs w:val="24"/>
    </w:rPr>
  </w:style>
  <w:style w:type="paragraph" w:styleId="2">
    <w:name w:val="heading 1"/>
    <w:next w:val="1"/>
    <w:qFormat/>
    <w:uiPriority w:val="0"/>
    <w:pPr>
      <w:spacing w:before="240" w:after="200"/>
      <w:outlineLvl w:val="0"/>
    </w:pPr>
    <w:rPr>
      <w:rFonts w:ascii="Times New Roman" w:hAnsi="Times New Roman" w:eastAsia="黑体" w:cs="Times New Roman"/>
      <w:b/>
      <w:bCs/>
      <w:sz w:val="30"/>
      <w:szCs w:val="30"/>
    </w:rPr>
  </w:style>
  <w:style w:type="paragraph" w:styleId="3">
    <w:name w:val="heading 2"/>
    <w:next w:val="1"/>
    <w:qFormat/>
    <w:uiPriority w:val="0"/>
    <w:rPr>
      <w:rFonts w:ascii="Times New Roman" w:hAnsi="Times New Roman" w:eastAsia="宋体" w:cs="Times New Roman"/>
      <w:color w:val="2E74B5"/>
      <w:sz w:val="26"/>
      <w:szCs w:val="26"/>
    </w:rPr>
  </w:style>
  <w:style w:type="paragraph" w:styleId="4">
    <w:name w:val="heading 3"/>
    <w:next w:val="1"/>
    <w:qFormat/>
    <w:uiPriority w:val="0"/>
    <w:rPr>
      <w:rFonts w:ascii="Times New Roman" w:hAnsi="Times New Roman" w:eastAsia="宋体" w:cs="Times New Roman"/>
      <w:color w:val="1F4D78"/>
      <w:sz w:val="24"/>
      <w:szCs w:val="24"/>
    </w:rPr>
  </w:style>
  <w:style w:type="paragraph" w:styleId="5">
    <w:name w:val="heading 4"/>
    <w:next w:val="1"/>
    <w:qFormat/>
    <w:uiPriority w:val="0"/>
    <w:rPr>
      <w:rFonts w:ascii="Times New Roman" w:hAnsi="Times New Roman" w:eastAsia="宋体" w:cs="Times New Roman"/>
      <w:i/>
      <w:iCs/>
      <w:color w:val="2E74B5"/>
      <w:sz w:val="24"/>
      <w:szCs w:val="24"/>
    </w:rPr>
  </w:style>
  <w:style w:type="paragraph" w:styleId="6">
    <w:name w:val="heading 5"/>
    <w:next w:val="1"/>
    <w:qFormat/>
    <w:uiPriority w:val="0"/>
    <w:rPr>
      <w:rFonts w:ascii="Times New Roman" w:hAnsi="Times New Roman" w:eastAsia="宋体" w:cs="Times New Roman"/>
      <w:color w:val="2E74B5"/>
      <w:sz w:val="24"/>
      <w:szCs w:val="24"/>
    </w:rPr>
  </w:style>
  <w:style w:type="paragraph" w:styleId="7">
    <w:name w:val="heading 6"/>
    <w:next w:val="1"/>
    <w:qFormat/>
    <w:uiPriority w:val="0"/>
    <w:rPr>
      <w:rFonts w:ascii="Times New Roman" w:hAnsi="Times New Roman" w:eastAsia="宋体" w:cs="Times New Roman"/>
      <w:color w:val="1F4D78"/>
      <w:sz w:val="24"/>
      <w:szCs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8">
    <w:name w:val="endnote text"/>
    <w:link w:val="19"/>
    <w:semiHidden/>
    <w:unhideWhenUsed/>
    <w:qFormat/>
    <w:uiPriority w:val="99"/>
    <w:pPr>
      <w:spacing w:after="0" w:line="240" w:lineRule="auto"/>
    </w:pPr>
    <w:rPr>
      <w:rFonts w:ascii="Times New Roman" w:hAnsi="Times New Roman" w:eastAsia="宋体" w:cs="Times New Roman"/>
      <w:sz w:val="20"/>
      <w:szCs w:val="20"/>
    </w:rPr>
  </w:style>
  <w:style w:type="paragraph" w:styleId="9">
    <w:name w:val="toc 1"/>
    <w:basedOn w:val="1"/>
    <w:next w:val="1"/>
    <w:qFormat/>
    <w:uiPriority w:val="0"/>
  </w:style>
  <w:style w:type="paragraph" w:styleId="10">
    <w:name w:val="footnote text"/>
    <w:link w:val="18"/>
    <w:semiHidden/>
    <w:unhideWhenUsed/>
    <w:qFormat/>
    <w:uiPriority w:val="99"/>
    <w:pPr>
      <w:spacing w:after="0" w:line="240" w:lineRule="auto"/>
    </w:pPr>
    <w:rPr>
      <w:rFonts w:ascii="Times New Roman" w:hAnsi="Times New Roman" w:eastAsia="宋体" w:cs="Times New Roman"/>
      <w:sz w:val="20"/>
      <w:szCs w:val="20"/>
    </w:rPr>
  </w:style>
  <w:style w:type="paragraph" w:styleId="11">
    <w:name w:val="Title"/>
    <w:qFormat/>
    <w:uiPriority w:val="0"/>
    <w:rPr>
      <w:rFonts w:ascii="Times New Roman" w:hAnsi="Times New Roman" w:eastAsia="宋体" w:cs="Times New Roman"/>
      <w:sz w:val="56"/>
      <w:szCs w:val="56"/>
    </w:rPr>
  </w:style>
  <w:style w:type="character" w:styleId="14">
    <w:name w:val="endnote reference"/>
    <w:semiHidden/>
    <w:unhideWhenUsed/>
    <w:qFormat/>
    <w:uiPriority w:val="99"/>
    <w:rPr>
      <w:vertAlign w:val="superscript"/>
    </w:rPr>
  </w:style>
  <w:style w:type="character" w:styleId="15">
    <w:name w:val="Hyperlink"/>
    <w:unhideWhenUsed/>
    <w:qFormat/>
    <w:uiPriority w:val="99"/>
    <w:rPr>
      <w:color w:val="0563C1"/>
      <w:u w:val="single"/>
    </w:rPr>
  </w:style>
  <w:style w:type="character" w:styleId="16">
    <w:name w:val="footnote reference"/>
    <w:semiHidden/>
    <w:unhideWhenUsed/>
    <w:qFormat/>
    <w:uiPriority w:val="99"/>
    <w:rPr>
      <w:vertAlign w:val="superscript"/>
    </w:rPr>
  </w:style>
  <w:style w:type="paragraph" w:styleId="17">
    <w:name w:val="List Paragraph"/>
    <w:qFormat/>
    <w:uiPriority w:val="0"/>
    <w:rPr>
      <w:rFonts w:ascii="Times New Roman" w:hAnsi="Times New Roman" w:eastAsia="宋体" w:cs="Times New Roman"/>
      <w:sz w:val="24"/>
      <w:szCs w:val="24"/>
    </w:rPr>
  </w:style>
  <w:style w:type="character" w:customStyle="1" w:styleId="18">
    <w:name w:val="Footnote Text Char"/>
    <w:link w:val="10"/>
    <w:semiHidden/>
    <w:unhideWhenUsed/>
    <w:qFormat/>
    <w:uiPriority w:val="99"/>
    <w:rPr>
      <w:sz w:val="20"/>
      <w:szCs w:val="20"/>
    </w:rPr>
  </w:style>
  <w:style w:type="character" w:customStyle="1" w:styleId="19">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1179</Words>
  <Characters>1281</Characters>
  <TotalTime>7</TotalTime>
  <ScaleCrop>false</ScaleCrop>
  <LinksUpToDate>false</LinksUpToDate>
  <CharactersWithSpaces>1387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2026-08-29T02:54:00Z</dcterms:created>
  <dc:creator>Un-named</dc:creator>
  <cp:lastModifiedBy>居居</cp:lastModifiedBy>
  <dcterms:modified xsi:type="dcterms:W3CDTF">2026-09-16T09:06:20Z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{"Label":"1","ContentProducer":"001191440300708461136T1WFUO","ProduceID":"328174bc616090df6df4b2b828fcf4d7-1Q5I","ReservedCode1":"{\"Type\":\" TC260PG\",\"Version\":1,\"Bindings\":[{\"Type\":\"soft\",\"AlgID\":\"sm3\",\"Value\":\"268dd12c8f2ab3e680920c8204b56744ab354df34b6ced1691ec3567faa33d6c\"},{\"Type\":\"hash\",\"AlgID\":\"sm3\",\"Value\":\"464aa308a44183b3faa948bf1de9cae72d3e5181089313985b418b20da39389b\"}],\"PubSD\":[{\"Type\":\"DS\",\"AlgID\":\"sm2\",\"TBSData\":{\"Type\":\"Binding\",\"BType\":\"hash\"},\"Signature\":\"304402204bd1ecdb484508ee3dd50f3d502f27ae29ac295a53bf0280f1aa241e0303e7ed022062cfcfc4464d6b0bddc2d0aed7ac6a6d749626150212d95b5bcb528442f3734d\"},{\"Type\":\"PubKey\",\"AlgID\":\"sm2\",\"KeyValue\":\"0407f79b28a17a752b3aae4305c98b48978213832729a2571850b1310b2bc9fe8fee039ccf25ebfeac27502414d9fcef792d777183c98893d226171c2f7a3289a2\"}],\"Extension\":{\"Timestamp\":1787799327,\"KeyVersion\":\"v1-TxLeOmf7bqU223\"}}","ContentPropagator":"001191440300708461136T1WFUO","PropagateID":"328174bc616090df6df4b2b828fcf4d7-1Q5I","ReservedCode2":"{\"Type\":\" TC260PG\",\"Version\":1,\"Bindings\":[{\"Type\":\"soft\",\"AlgID\":\"sm3\",\"Value\":\"268dd12c8f2ab3e680920c8204b56744ab354df34b6ced1691ec3567faa33d6c\"},{\"Type\":\"hash\",\"AlgID\":\"sm3\",\"Value\":\"464aa308a44183b3faa948bf1de9cae72d3e5181089313985b418b20da39389b\"}],\"PubSD\":[{\"Type\":\"DS\",\"AlgID\":\"sm2\",\"TBSData\":{\"Type\":\"Binding\",\"BType\":\"hash\"},\"Signature\":\"3044022075618023b710ce4e95e8867c80167e589128da31ad4069dc6a3725efbe3b50070220504eaad6f2358fc13b0a4c733f2a62933c2acdc0a1344fd7c6aedf5c453b714d\"},{\"Type\":\"PubKey\",\"AlgID\":\"sm2\",\"KeyValue\":\"0407f79b28a17a752b3aae4305c98b48978213832729a2571850b1310b2bc9fe8fee039ccf25ebfeac27502414d9fcef792d777183c98893d226171c2f7a3289a2\"}],\"Extension\":{\"Timestamp\":1787799327,\"KeyVersion\":\"v1-TxLeOmf7bqU223\"}}"}</vt:lpwstr>
  </property>
  <property fmtid="{D5CDD505-2E9C-101B-9397-08002B2CF9AE}" pid="3" name="KSOTemplateDocerSaveRecord">
    <vt:lpwstr>eyJoZGlkIjoiMGUxZWY0YTAyYjAzZDdhMzViYjcxNGE4YTM3MmU5MTUiLCJ1c2VySWQiOiIyNDUxMDYzMjQifQ==</vt:lpwstr>
  </property>
  <property fmtid="{D5CDD505-2E9C-101B-9397-08002B2CF9AE}" pid="4" name="KSOProductBuildVer">
    <vt:lpwstr>2052-12.1.0.28505</vt:lpwstr>
  </property>
  <property fmtid="{D5CDD505-2E9C-101B-9397-08002B2CF9AE}" pid="5" name="ICV">
    <vt:lpwstr>18737763CA1B42BABB90D6EAF6B99D8D_12</vt:lpwstr>
  </property>
</Properties>
</file>